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jc w:val="center"/>
        <w:rPr>
          <w:rFonts w:asciiTheme="majorEastAsia" w:hAnsiTheme="majorEastAsia" w:eastAsiaTheme="majorEastAsia"/>
          <w:b/>
          <w:color w:val="000000" w:themeColor="text1"/>
          <w:szCs w:val="32"/>
          <w14:textFill>
            <w14:solidFill>
              <w14:schemeClr w14:val="tx1"/>
            </w14:solidFill>
          </w14:textFill>
        </w:rPr>
      </w:pPr>
      <w:r>
        <w:rPr>
          <w:rFonts w:hint="eastAsia" w:asciiTheme="majorEastAsia" w:hAnsiTheme="majorEastAsia" w:eastAsiaTheme="majorEastAsia"/>
          <w:b/>
          <w:color w:val="000000" w:themeColor="text1"/>
          <w:szCs w:val="32"/>
          <w14:textFill>
            <w14:solidFill>
              <w14:schemeClr w14:val="tx1"/>
            </w14:solidFill>
          </w14:textFill>
        </w:rPr>
        <w:t>新闻与传播硕士专业学位研究生培养方案（外招）</w:t>
      </w:r>
    </w:p>
    <w:p>
      <w:pPr>
        <w:spacing w:line="480" w:lineRule="exact"/>
        <w:ind w:firstLine="640"/>
        <w:jc w:val="center"/>
        <w:rPr>
          <w:rFonts w:eastAsia="方正小标宋简体"/>
          <w:b/>
          <w:color w:val="000000" w:themeColor="text1"/>
          <w:szCs w:val="32"/>
          <w14:textFill>
            <w14:solidFill>
              <w14:schemeClr w14:val="tx1"/>
            </w14:solidFill>
          </w14:textFill>
        </w:rPr>
      </w:pPr>
      <w:r>
        <w:rPr>
          <w:rFonts w:eastAsia="方正小标宋简体"/>
          <w:b/>
          <w:color w:val="000000" w:themeColor="text1"/>
          <w:szCs w:val="32"/>
          <w14:textFill>
            <w14:solidFill>
              <w14:schemeClr w14:val="tx1"/>
            </w14:solidFill>
          </w14:textFill>
        </w:rPr>
        <w:t>Developing Plan for Master of Journalism and Communication</w:t>
      </w:r>
      <w:r>
        <w:rPr>
          <w:rFonts w:hint="eastAsia" w:eastAsia="方正小标宋简体"/>
          <w:b/>
          <w:color w:val="000000" w:themeColor="text1"/>
          <w:szCs w:val="32"/>
          <w14:textFill>
            <w14:solidFill>
              <w14:schemeClr w14:val="tx1"/>
            </w14:solidFill>
          </w14:textFill>
        </w:rPr>
        <w:t xml:space="preserve"> (MJC)</w:t>
      </w:r>
    </w:p>
    <w:p>
      <w:pPr>
        <w:ind w:firstLine="640"/>
        <w:jc w:val="center"/>
        <w:rPr>
          <w:rFonts w:eastAsia="方正小标宋简体"/>
          <w:b/>
          <w:color w:val="000000" w:themeColor="text1"/>
          <w:sz w:val="44"/>
          <w:szCs w:val="44"/>
          <w14:textFill>
            <w14:solidFill>
              <w14:schemeClr w14:val="tx1"/>
            </w14:solidFill>
          </w14:textFill>
        </w:rPr>
      </w:pPr>
      <w:r>
        <w:rPr>
          <w:rFonts w:hint="eastAsia" w:eastAsia="方正小标宋简体"/>
          <w:b/>
          <w:color w:val="000000" w:themeColor="text1"/>
          <w:szCs w:val="32"/>
          <w14:textFill>
            <w14:solidFill>
              <w14:schemeClr w14:val="tx1"/>
            </w14:solidFill>
          </w14:textFill>
        </w:rPr>
        <w:t>（055200）</w:t>
      </w:r>
    </w:p>
    <w:p>
      <w:pPr>
        <w:spacing w:line="440" w:lineRule="exact"/>
        <w:ind w:firstLine="562"/>
        <w:rPr>
          <w:rFonts w:ascii="仿宋" w:hAnsi="仿宋" w:eastAsia="仿宋"/>
          <w:b/>
          <w:sz w:val="28"/>
          <w:szCs w:val="28"/>
        </w:rPr>
      </w:pPr>
      <w:r>
        <w:rPr>
          <w:rFonts w:hint="eastAsia" w:ascii="仿宋" w:hAnsi="仿宋" w:eastAsia="仿宋"/>
          <w:b/>
          <w:sz w:val="28"/>
          <w:szCs w:val="28"/>
        </w:rPr>
        <w:t>一、培养方向</w:t>
      </w:r>
    </w:p>
    <w:p>
      <w:pPr>
        <w:spacing w:line="440" w:lineRule="exact"/>
        <w:ind w:firstLine="560"/>
        <w:rPr>
          <w:rFonts w:ascii="仿宋" w:hAnsi="仿宋" w:eastAsia="仿宋"/>
          <w:sz w:val="28"/>
          <w:szCs w:val="28"/>
        </w:rPr>
      </w:pPr>
      <w:r>
        <w:rPr>
          <w:rFonts w:hint="eastAsia" w:ascii="仿宋" w:hAnsi="仿宋" w:eastAsia="仿宋"/>
          <w:sz w:val="28"/>
          <w:szCs w:val="28"/>
        </w:rPr>
        <w:t>1. 融合新闻 Convergen</w:t>
      </w:r>
      <w:r>
        <w:rPr>
          <w:rFonts w:ascii="仿宋" w:hAnsi="仿宋" w:eastAsia="仿宋"/>
          <w:sz w:val="28"/>
          <w:szCs w:val="28"/>
        </w:rPr>
        <w:t>ce</w:t>
      </w:r>
      <w:r>
        <w:rPr>
          <w:rFonts w:hint="eastAsia" w:ascii="仿宋" w:hAnsi="仿宋" w:eastAsia="仿宋"/>
          <w:sz w:val="28"/>
          <w:szCs w:val="28"/>
        </w:rPr>
        <w:t xml:space="preserve"> Journalism</w:t>
      </w:r>
    </w:p>
    <w:p>
      <w:pPr>
        <w:spacing w:line="440" w:lineRule="exact"/>
        <w:ind w:firstLine="560"/>
        <w:rPr>
          <w:rFonts w:ascii="仿宋" w:hAnsi="仿宋" w:eastAsia="仿宋"/>
          <w:sz w:val="28"/>
          <w:szCs w:val="28"/>
        </w:rPr>
      </w:pPr>
      <w:r>
        <w:rPr>
          <w:rFonts w:hint="eastAsia" w:ascii="仿宋" w:hAnsi="仿宋" w:eastAsia="仿宋"/>
          <w:sz w:val="28"/>
          <w:szCs w:val="28"/>
        </w:rPr>
        <w:t>2. 数字营销传播 Digital Marketing Communication</w:t>
      </w:r>
    </w:p>
    <w:p>
      <w:pPr>
        <w:spacing w:line="440" w:lineRule="exact"/>
        <w:ind w:firstLine="560"/>
        <w:rPr>
          <w:rFonts w:ascii="仿宋" w:hAnsi="仿宋" w:eastAsia="仿宋"/>
          <w:sz w:val="28"/>
          <w:szCs w:val="28"/>
        </w:rPr>
      </w:pPr>
      <w:r>
        <w:rPr>
          <w:rFonts w:hint="eastAsia" w:ascii="仿宋" w:hAnsi="仿宋" w:eastAsia="仿宋"/>
          <w:sz w:val="28"/>
          <w:szCs w:val="28"/>
        </w:rPr>
        <w:t xml:space="preserve">3. 计算传播 </w:t>
      </w:r>
      <w:r>
        <w:rPr>
          <w:rFonts w:ascii="仿宋" w:hAnsi="仿宋" w:eastAsia="仿宋"/>
          <w:sz w:val="28"/>
          <w:szCs w:val="28"/>
        </w:rPr>
        <w:t xml:space="preserve">Computational </w:t>
      </w:r>
      <w:r>
        <w:rPr>
          <w:rFonts w:hint="eastAsia" w:ascii="仿宋" w:hAnsi="仿宋" w:eastAsia="仿宋"/>
          <w:sz w:val="28"/>
          <w:szCs w:val="28"/>
        </w:rPr>
        <w:t>C</w:t>
      </w:r>
      <w:r>
        <w:rPr>
          <w:rFonts w:ascii="仿宋" w:hAnsi="仿宋" w:eastAsia="仿宋"/>
          <w:sz w:val="28"/>
          <w:szCs w:val="28"/>
        </w:rPr>
        <w:t>ommunication</w:t>
      </w:r>
    </w:p>
    <w:p>
      <w:pPr>
        <w:spacing w:line="440" w:lineRule="exact"/>
        <w:ind w:firstLine="560"/>
        <w:rPr>
          <w:rFonts w:hint="eastAsia" w:ascii="仿宋" w:hAnsi="仿宋" w:eastAsia="仿宋"/>
          <w:sz w:val="28"/>
          <w:szCs w:val="28"/>
        </w:rPr>
      </w:pPr>
      <w:r>
        <w:rPr>
          <w:rFonts w:hint="eastAsia" w:ascii="仿宋" w:hAnsi="仿宋" w:eastAsia="仿宋"/>
          <w:sz w:val="28"/>
          <w:szCs w:val="28"/>
        </w:rPr>
        <w:t>4. 国际传播 International Communication</w:t>
      </w:r>
    </w:p>
    <w:p>
      <w:pPr>
        <w:spacing w:line="440" w:lineRule="exact"/>
        <w:ind w:firstLine="560"/>
        <w:jc w:val="left"/>
        <w:rPr>
          <w:rFonts w:hint="default" w:ascii="仿宋" w:hAnsi="仿宋" w:eastAsia="仿宋"/>
          <w:sz w:val="28"/>
          <w:szCs w:val="28"/>
          <w:lang w:val="en-US" w:eastAsia="zh-CN"/>
        </w:rPr>
      </w:pPr>
      <w:r>
        <w:rPr>
          <w:rFonts w:hint="eastAsia" w:ascii="仿宋" w:hAnsi="仿宋" w:eastAsia="仿宋"/>
          <w:sz w:val="28"/>
          <w:szCs w:val="28"/>
          <w:lang w:val="en-US" w:eastAsia="zh-CN"/>
        </w:rPr>
        <w:t>5. 数字出版与开源情报Digital Publishing&amp;Open Source Intelligence</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二、培养目标及基本要求</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（一）港澳台生</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1.培养目标</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以职业需求为导向，突出以实践能力、创新能力和社会责任感为核心的综合素质培养，培养掌握某一特定职业领域坚实的基础理论和宽广的专业知识，具有国际视野、良好的职业素养和较强的解决实际问题的能力，能够承担新闻传播专业或相关领域管理工作的高层次应用型专门人才。</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2.基本要求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热爱祖国和中华文化，自觉拥护祖国统一、拥护“一国两制”，自愿为祖国和平统一做贡献；遵守法律法规，恪守社会公德、新闻传播职业道德和学术规范；具有国家认同意识、新闻职业理想和社会责任感。</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（2）掌握扎实的新闻专业理论知识，具备较扎实的人文社科知识素养和新闻传播专业素养。</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（3）具有良好的思辨意识和对知识的分类整理能力、口头和文字表达能力以及社会实践能力和专业实践能力，能满足社会变革、就业竞争和职业发展的需求。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（4）掌握中文和一门外语，具有一定的国际视野，能较熟练地阅读本专业的中外文文献，具有较强的中外文交流能力。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（5）具有自主学习、终身学习能力。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（6）品行端正，身心健康。</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（二）华侨华人及外国留学生</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1.培养目标</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以职业需求为导向，突出以实践能力、创新能力和社会责任感为核心的综合素质培养，培养掌握某一特定职业领域坚实的基础理论和宽广的专业知识，具有国际视野、良好的职业素养和较强的解决实际问题的能力，能够承担新闻传播专业或相关领域管理工作的高层次应用型专门人才。</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2.基本要求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（1）热爱中华文化，对中国友好，主动担当中外交流的文化使者，愿为社会发展做出贡献；遵守法律法规，恪守社会公德、新闻传播职业道德和学术规范。</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（2）掌握扎实的新闻专业理论知识，具备较宽广的哲学人文社科知识素养和从事新闻传播实践所需要的专业素养。</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（3）具有良好的思辨意识和对知识的分类整理能力、口头和文字表达能力以及社会实践能力和专业实践能力，能满足社会变革、就业竞争和职业发展的需求。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（4）掌握汉语，具有一定的国际视野，能较熟练地阅读本专业的中文文献，具有较强的中文交流能力。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（5）具有自主学习、终身学习能力。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（6）品行端正，身心健康。</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三、学习年限</w:t>
      </w:r>
    </w:p>
    <w:p>
      <w:pPr>
        <w:spacing w:line="440" w:lineRule="exact"/>
        <w:ind w:firstLine="56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学习形式为全日制，</w:t>
      </w:r>
      <w:r>
        <w:rPr>
          <w:rFonts w:hint="eastAsia" w:ascii="仿宋" w:hAnsi="仿宋" w:eastAsia="仿宋"/>
          <w:color w:val="000000" w:themeColor="text1"/>
          <w:sz w:val="28"/>
          <w:szCs w:val="28"/>
          <w14:textFill>
            <w14:solidFill>
              <w14:schemeClr w14:val="tx1"/>
            </w14:solidFill>
          </w14:textFill>
        </w:rPr>
        <w:t>学制3年。学习年限根据情况可适当延长，最长不得超过5 年。</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四、培养方式</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采用课程学习、专业实践和学位论文相结合的培养方式。课程学习、专业实践和学位论文同等重要。专业学位硕士生的培养采取校内校外“双导师制”，坚持校企合作培养；鼓励学科交叉，鼓励海内外合作培养。</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五、学分要求及课程体系设置</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本专业要求修满35学分，其中公共学位课4学分，专业学位课11学分，非学位课程20学分。非学位课程的各方向选修课，要求硕士生按方向选修至少4门。</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华人及来华留学生毕业时中文能力须达到《国际汉语能力标准》五级水平（HSK5 级）。</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同等学力或跨一级学科考取的硕士生，应在导师指导下，补修3门本学科本科核心课程（具体课程参考本学科本科培养方案），所修课程只登记成绩不计学分。</w:t>
      </w:r>
    </w:p>
    <w:tbl>
      <w:tblPr>
        <w:tblStyle w:val="20"/>
        <w:tblW w:w="9877" w:type="dxa"/>
        <w:jc w:val="center"/>
        <w:tblLayout w:type="fixed"/>
        <w:tblCellMar>
          <w:top w:w="0" w:type="dxa"/>
          <w:left w:w="108" w:type="dxa"/>
          <w:bottom w:w="0" w:type="dxa"/>
          <w:right w:w="108" w:type="dxa"/>
        </w:tblCellMar>
      </w:tblPr>
      <w:tblGrid>
        <w:gridCol w:w="748"/>
        <w:gridCol w:w="1358"/>
        <w:gridCol w:w="3260"/>
        <w:gridCol w:w="567"/>
        <w:gridCol w:w="567"/>
        <w:gridCol w:w="709"/>
        <w:gridCol w:w="850"/>
        <w:gridCol w:w="850"/>
        <w:gridCol w:w="968"/>
      </w:tblGrid>
      <w:tr>
        <w:tblPrEx>
          <w:tblCellMar>
            <w:top w:w="0" w:type="dxa"/>
            <w:left w:w="108" w:type="dxa"/>
            <w:bottom w:w="0" w:type="dxa"/>
            <w:right w:w="108" w:type="dxa"/>
          </w:tblCellMar>
        </w:tblPrEx>
        <w:trPr>
          <w:trHeight w:val="449" w:hRule="atLeast"/>
          <w:tblHeader/>
          <w:jc w:val="center"/>
        </w:trPr>
        <w:tc>
          <w:tcPr>
            <w:tcW w:w="748" w:type="dxa"/>
            <w:tcBorders>
              <w:top w:val="single" w:color="auto" w:sz="4" w:space="0"/>
              <w:left w:val="single" w:color="000000" w:sz="8" w:space="0"/>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类别</w:t>
            </w:r>
          </w:p>
        </w:tc>
        <w:tc>
          <w:tcPr>
            <w:tcW w:w="1358"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课程编号</w:t>
            </w:r>
          </w:p>
        </w:tc>
        <w:tc>
          <w:tcPr>
            <w:tcW w:w="3260"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课程中文名称</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（课程英文名称）</w:t>
            </w:r>
          </w:p>
        </w:tc>
        <w:tc>
          <w:tcPr>
            <w:tcW w:w="567" w:type="dxa"/>
            <w:tcBorders>
              <w:top w:val="single" w:color="auto" w:sz="4" w:space="0"/>
              <w:left w:val="nil"/>
              <w:bottom w:val="single" w:color="000000" w:sz="4" w:space="0"/>
              <w:right w:val="single" w:color="000000"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时</w:t>
            </w:r>
          </w:p>
        </w:tc>
        <w:tc>
          <w:tcPr>
            <w:tcW w:w="567" w:type="dxa"/>
            <w:tcBorders>
              <w:top w:val="single" w:color="auto" w:sz="4" w:space="0"/>
              <w:left w:val="nil"/>
              <w:bottom w:val="single" w:color="000000" w:sz="4" w:space="0"/>
              <w:right w:val="single" w:color="auto" w:sz="4" w:space="0"/>
            </w:tcBorders>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分</w:t>
            </w:r>
          </w:p>
        </w:tc>
        <w:tc>
          <w:tcPr>
            <w:tcW w:w="709" w:type="dxa"/>
            <w:tcBorders>
              <w:top w:val="single" w:color="auto" w:sz="4" w:space="0"/>
              <w:left w:val="single" w:color="auto" w:sz="4" w:space="0"/>
              <w:bottom w:val="single" w:color="000000" w:sz="4" w:space="0"/>
              <w:right w:val="single" w:color="auto" w:sz="4"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开课</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学期</w:t>
            </w:r>
          </w:p>
        </w:tc>
        <w:tc>
          <w:tcPr>
            <w:tcW w:w="850" w:type="dxa"/>
            <w:tcBorders>
              <w:top w:val="single" w:color="auto" w:sz="4" w:space="0"/>
              <w:left w:val="single" w:color="auto" w:sz="4" w:space="0"/>
              <w:bottom w:val="single" w:color="000000" w:sz="4" w:space="0"/>
              <w:right w:val="single" w:color="auto" w:sz="4" w:space="0"/>
            </w:tcBorders>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开课单位</w:t>
            </w:r>
          </w:p>
        </w:tc>
        <w:tc>
          <w:tcPr>
            <w:tcW w:w="850" w:type="dxa"/>
            <w:tcBorders>
              <w:top w:val="single" w:color="auto" w:sz="4" w:space="0"/>
              <w:left w:val="single" w:color="auto" w:sz="4" w:space="0"/>
              <w:bottom w:val="single" w:color="000000" w:sz="4" w:space="0"/>
              <w:right w:val="single" w:color="000000" w:sz="4" w:space="0"/>
            </w:tcBorders>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考核</w:t>
            </w:r>
          </w:p>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方式</w:t>
            </w:r>
          </w:p>
        </w:tc>
        <w:tc>
          <w:tcPr>
            <w:tcW w:w="968" w:type="dxa"/>
            <w:tcBorders>
              <w:top w:val="single" w:color="auto" w:sz="4" w:space="0"/>
              <w:left w:val="nil"/>
              <w:bottom w:val="single" w:color="000000" w:sz="4" w:space="0"/>
              <w:right w:val="single" w:color="000000" w:sz="8" w:space="0"/>
            </w:tcBorders>
            <w:tcMar>
              <w:top w:w="57" w:type="dxa"/>
              <w:bottom w:w="57" w:type="dxa"/>
            </w:tcMar>
            <w:vAlign w:val="center"/>
          </w:tcPr>
          <w:p>
            <w:pPr>
              <w:widowControl/>
              <w:spacing w:line="320" w:lineRule="exact"/>
              <w:ind w:firstLine="0" w:firstLineChars="0"/>
              <w:jc w:val="center"/>
              <w:rPr>
                <w:rFonts w:ascii="仿宋" w:hAnsi="仿宋" w:eastAsia="仿宋" w:cstheme="minorEastAsia"/>
                <w:b/>
                <w:color w:val="000000" w:themeColor="text1"/>
                <w:kern w:val="0"/>
                <w:sz w:val="21"/>
                <w14:textFill>
                  <w14:solidFill>
                    <w14:schemeClr w14:val="tx1"/>
                  </w14:solidFill>
                </w14:textFill>
              </w:rPr>
            </w:pPr>
            <w:r>
              <w:rPr>
                <w:rFonts w:hint="eastAsia" w:ascii="仿宋" w:hAnsi="仿宋" w:eastAsia="仿宋" w:cstheme="minorEastAsia"/>
                <w:b/>
                <w:color w:val="000000" w:themeColor="text1"/>
                <w:kern w:val="0"/>
                <w:sz w:val="21"/>
                <w14:textFill>
                  <w14:solidFill>
                    <w14:schemeClr w14:val="tx1"/>
                  </w14:solidFill>
                </w14:textFill>
              </w:rPr>
              <w:t>备注</w:t>
            </w:r>
          </w:p>
        </w:tc>
      </w:tr>
      <w:tr>
        <w:tblPrEx>
          <w:tblCellMar>
            <w:top w:w="0" w:type="dxa"/>
            <w:left w:w="108" w:type="dxa"/>
            <w:bottom w:w="0" w:type="dxa"/>
            <w:right w:w="108" w:type="dxa"/>
          </w:tblCellMar>
        </w:tblPrEx>
        <w:trPr>
          <w:trHeight w:val="436" w:hRule="atLeast"/>
          <w:jc w:val="center"/>
        </w:trPr>
        <w:tc>
          <w:tcPr>
            <w:tcW w:w="748" w:type="dxa"/>
            <w:vMerge w:val="restart"/>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公</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共</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105590ma37</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基础英语</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Basic English</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外国语学院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港澳台侨生必选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105590da14</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中国现代化理论与实践研究</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 xml:space="preserve">Study on Modernization Theory and Practice of </w:t>
            </w:r>
            <w:r>
              <w:rPr>
                <w:rFonts w:hint="eastAsia" w:ascii="仿宋" w:hAnsi="仿宋" w:eastAsia="仿宋" w:cs="宋体"/>
                <w:color w:val="000000" w:themeColor="text1"/>
                <w:sz w:val="21"/>
                <w14:textFill>
                  <w14:solidFill>
                    <w14:schemeClr w14:val="tx1"/>
                  </w14:solidFill>
                </w14:textFill>
              </w:rPr>
              <w:t> </w:t>
            </w:r>
            <w:r>
              <w:rPr>
                <w:rFonts w:ascii="仿宋" w:hAnsi="仿宋" w:eastAsia="仿宋" w:cs="宋体"/>
                <w:color w:val="000000" w:themeColor="text1"/>
                <w:sz w:val="21"/>
                <w14:textFill>
                  <w14:solidFill>
                    <w14:schemeClr w14:val="tx1"/>
                  </w14:solidFill>
                </w14:textFill>
              </w:rPr>
              <w:t>China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马克思主义学院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港澳台侨生必选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105590da15</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汉语</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Chinese Language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华文学院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留学生必选</w:t>
            </w:r>
          </w:p>
        </w:tc>
      </w:tr>
      <w:tr>
        <w:tblPrEx>
          <w:tblCellMar>
            <w:top w:w="0" w:type="dxa"/>
            <w:left w:w="108" w:type="dxa"/>
            <w:bottom w:w="0" w:type="dxa"/>
            <w:right w:w="108" w:type="dxa"/>
          </w:tblCellMar>
        </w:tblPrEx>
        <w:trPr>
          <w:trHeight w:val="436"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105590da16</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中国概况</w:t>
            </w:r>
          </w:p>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China Panorama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36</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国际学院</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考试</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textAlignment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留学生必选</w:t>
            </w:r>
          </w:p>
        </w:tc>
      </w:tr>
      <w:tr>
        <w:tblPrEx>
          <w:tblCellMar>
            <w:top w:w="0" w:type="dxa"/>
            <w:left w:w="108" w:type="dxa"/>
            <w:bottom w:w="0" w:type="dxa"/>
            <w:right w:w="108" w:type="dxa"/>
          </w:tblCellMar>
        </w:tblPrEx>
        <w:trPr>
          <w:trHeight w:val="436"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专</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业</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055200mb09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新闻传播学理论基础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Academic Foundation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055200mb28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新闻传播学研究方法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Research Methods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60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3</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055200mb13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新闻传播政策、法规与伦理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Policy, Regulation and Ethics of Journalism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sz w:val="21"/>
                <w:lang w:val="en-US" w:eastAsia="zh-CN"/>
                <w14:textFill>
                  <w14:solidFill>
                    <w14:schemeClr w14:val="tx1"/>
                  </w14:solidFill>
                </w14:textFill>
              </w:rPr>
            </w:pPr>
            <w:r>
              <w:rPr>
                <w:rFonts w:hint="eastAsia" w:ascii="仿宋" w:hAnsi="仿宋" w:eastAsia="仿宋" w:cstheme="minorEastAsia"/>
                <w:color w:val="000000" w:themeColor="text1"/>
                <w:sz w:val="21"/>
                <w:lang w:val="en-US" w:eastAsia="zh-CN"/>
                <w14:textFill>
                  <w14:solidFill>
                    <w14:schemeClr w14:val="tx1"/>
                  </w14:solidFill>
                </w14:textFill>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02" w:hRule="atLeast"/>
          <w:jc w:val="center"/>
        </w:trPr>
        <w:tc>
          <w:tcPr>
            <w:tcW w:w="748" w:type="dxa"/>
            <w:vMerge w:val="continue"/>
            <w:tcBorders>
              <w:left w:val="single" w:color="000000" w:sz="8"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055200mb11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新媒体研究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Study on New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65" w:hRule="atLeast"/>
          <w:jc w:val="center"/>
        </w:trPr>
        <w:tc>
          <w:tcPr>
            <w:tcW w:w="748" w:type="dxa"/>
            <w:vMerge w:val="continue"/>
            <w:tcBorders>
              <w:left w:val="single" w:color="000000" w:sz="8" w:space="0"/>
              <w:bottom w:val="single" w:color="auto" w:sz="4" w:space="0"/>
              <w:right w:val="single" w:color="000000" w:sz="4" w:space="0"/>
            </w:tcBorders>
            <w:tcMar>
              <w:top w:w="57" w:type="dxa"/>
              <w:bottom w:w="57" w:type="dxa"/>
            </w:tcMar>
          </w:tcPr>
          <w:p>
            <w:pPr>
              <w:adjustRightInd w:val="0"/>
              <w:snapToGrid w:val="0"/>
              <w:spacing w:line="300" w:lineRule="exact"/>
              <w:ind w:firstLine="0" w:firstLineChars="0"/>
              <w:jc w:val="left"/>
              <w:rPr>
                <w:rFonts w:ascii="仿宋" w:hAnsi="仿宋" w:eastAsia="仿宋" w:cstheme="minorEastAsia"/>
                <w:color w:val="000000" w:themeColor="text1"/>
                <w:sz w:val="21"/>
                <w14:textFill>
                  <w14:solidFill>
                    <w14:schemeClr w14:val="tx1"/>
                  </w14:solidFill>
                </w14:textFill>
              </w:rPr>
            </w:pPr>
          </w:p>
        </w:tc>
        <w:tc>
          <w:tcPr>
            <w:tcW w:w="1358" w:type="dxa"/>
            <w:tcBorders>
              <w:top w:val="nil"/>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lang w:val="en-US" w:eastAsia="zh-CN"/>
                <w14:textFill>
                  <w14:solidFill>
                    <w14:schemeClr w14:val="tx1"/>
                  </w14:solidFill>
                </w14:textFill>
              </w:rPr>
              <w:t xml:space="preserve">055200mb12 </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 xml:space="preserve">媒介经营与管理 </w:t>
            </w:r>
          </w:p>
          <w:p>
            <w:pPr>
              <w:widowControl/>
              <w:spacing w:line="300" w:lineRule="exact"/>
              <w:ind w:firstLine="0" w:firstLineChars="0"/>
              <w:jc w:val="center"/>
              <w:textAlignment w:val="center"/>
              <w:rPr>
                <w:rFonts w:hint="eastAsia"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Media Management</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sz w:val="21"/>
                <w:lang w:val="en-US" w:eastAsia="zh-CN"/>
                <w14:textFill>
                  <w14:solidFill>
                    <w14:schemeClr w14:val="tx1"/>
                  </w14:solidFill>
                </w14:textFill>
              </w:rPr>
            </w:pPr>
            <w:r>
              <w:rPr>
                <w:rFonts w:hint="eastAsia" w:ascii="仿宋" w:hAnsi="仿宋" w:eastAsia="仿宋" w:cstheme="minorEastAsia"/>
                <w:color w:val="000000" w:themeColor="text1"/>
                <w:sz w:val="21"/>
                <w:lang w:val="en-US" w:eastAsia="zh-CN"/>
                <w14:textFill>
                  <w14:solidFill>
                    <w14:schemeClr w14:val="tx1"/>
                  </w14:solidFill>
                </w14:textFill>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nil"/>
              <w:left w:val="single" w:color="000000" w:sz="4" w:space="0"/>
              <w:bottom w:val="single" w:color="000000" w:sz="4" w:space="0"/>
              <w:right w:val="single" w:color="000000" w:sz="8"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各方向必选</w:t>
            </w:r>
          </w:p>
        </w:tc>
      </w:tr>
      <w:tr>
        <w:tblPrEx>
          <w:tblCellMar>
            <w:top w:w="0" w:type="dxa"/>
            <w:left w:w="108" w:type="dxa"/>
            <w:bottom w:w="0" w:type="dxa"/>
            <w:right w:w="108" w:type="dxa"/>
          </w:tblCellMar>
        </w:tblPrEx>
        <w:trPr>
          <w:trHeight w:val="345" w:hRule="atLeast"/>
          <w:jc w:val="center"/>
        </w:trPr>
        <w:tc>
          <w:tcPr>
            <w:tcW w:w="748" w:type="dxa"/>
            <w:vMerge w:val="restart"/>
            <w:tcBorders>
              <w:top w:val="single" w:color="auto" w:sz="4" w:space="0"/>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非</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学</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位</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课</w:t>
            </w: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055300mc09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新闻传播实务前沿讲座</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 xml:space="preserve">Lectures on the </w:t>
            </w:r>
            <w:r>
              <w:rPr>
                <w:rFonts w:hint="eastAsia" w:ascii="仿宋" w:hAnsi="仿宋" w:eastAsia="仿宋" w:cstheme="minorEastAsia"/>
                <w:color w:val="auto"/>
                <w:kern w:val="0"/>
                <w:sz w:val="21"/>
              </w:rPr>
              <w:t xml:space="preserve">Practical </w:t>
            </w:r>
            <w:r>
              <w:rPr>
                <w:rFonts w:ascii="仿宋" w:hAnsi="仿宋" w:eastAsia="仿宋" w:cstheme="minorEastAsia"/>
                <w:color w:val="auto"/>
                <w:kern w:val="0"/>
                <w:sz w:val="21"/>
              </w:rPr>
              <w:t xml:space="preserve">Frontier of </w:t>
            </w:r>
            <w:r>
              <w:rPr>
                <w:rFonts w:hint="eastAsia" w:ascii="仿宋" w:hAnsi="仿宋" w:eastAsia="仿宋" w:cstheme="minorEastAsia"/>
                <w:color w:val="auto"/>
                <w:kern w:val="0"/>
                <w:sz w:val="21"/>
              </w:rPr>
              <w:t>J</w:t>
            </w:r>
            <w:r>
              <w:rPr>
                <w:rFonts w:ascii="仿宋" w:hAnsi="仿宋" w:eastAsia="仿宋" w:cstheme="minorEastAsia"/>
                <w:color w:val="auto"/>
                <w:kern w:val="0"/>
                <w:sz w:val="21"/>
              </w:rPr>
              <w:t>ournalism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hint="default" w:ascii="仿宋" w:hAnsi="仿宋" w:eastAsia="仿宋" w:cstheme="minorEastAsia"/>
                <w:color w:val="000000" w:themeColor="text1"/>
                <w:kern w:val="0"/>
                <w:sz w:val="21"/>
                <w:lang w:val="en-US" w:eastAsia="zh-CN"/>
                <w14:textFill>
                  <w14:solidFill>
                    <w14:schemeClr w14:val="tx1"/>
                  </w14:solidFill>
                </w14:textFill>
              </w:rPr>
            </w:pPr>
            <w:r>
              <w:rPr>
                <w:rFonts w:hint="eastAsia" w:ascii="仿宋" w:hAnsi="仿宋" w:eastAsia="仿宋" w:cstheme="minorEastAsia"/>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055300mc19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论文写作与学术规范</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Thesis Writing and Academic Norms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专业实训工作坊</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Professional Training Workshop</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105590md20</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专业实习</w:t>
            </w:r>
          </w:p>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color w:val="auto"/>
                <w:kern w:val="0"/>
                <w:sz w:val="21"/>
              </w:rPr>
              <w:t>Practical Teaching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80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4</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5-6</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sz w:val="21"/>
              </w:rPr>
              <w:t>各方向必选</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kern w:val="2"/>
                <w:sz w:val="21"/>
                <w:szCs w:val="21"/>
                <w:lang w:val="en-US" w:eastAsia="zh-CN" w:bidi="ar-SA"/>
                <w14:textFill>
                  <w14:solidFill>
                    <w14:schemeClr w14:val="tx1"/>
                  </w14:solidFill>
                </w14:textFill>
              </w:rPr>
            </w:pPr>
            <w:r>
              <w:rPr>
                <w:rFonts w:hint="eastAsia" w:ascii="仿宋" w:hAnsi="仿宋" w:eastAsia="仿宋" w:cs="宋体"/>
                <w:color w:val="auto"/>
                <w:sz w:val="21"/>
              </w:rPr>
              <w:t>050300md02</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马克思主义新闻观</w:t>
            </w:r>
          </w:p>
          <w:p>
            <w:pPr>
              <w:spacing w:line="300" w:lineRule="exact"/>
              <w:ind w:firstLine="0" w:firstLineChars="0"/>
              <w:jc w:val="center"/>
              <w:rPr>
                <w:rFonts w:ascii="仿宋" w:hAnsi="仿宋" w:eastAsia="仿宋" w:cstheme="minorEastAsia"/>
                <w:color w:val="000000" w:themeColor="text1"/>
                <w:kern w:val="0"/>
                <w:sz w:val="21"/>
                <w:szCs w:val="21"/>
                <w:lang w:val="en-US" w:eastAsia="zh-CN" w:bidi="ar-SA"/>
                <w14:textFill>
                  <w14:solidFill>
                    <w14:schemeClr w14:val="tx1"/>
                  </w14:solidFill>
                </w14:textFill>
              </w:rPr>
            </w:pPr>
            <w:r>
              <w:rPr>
                <w:rFonts w:ascii="仿宋" w:hAnsi="仿宋" w:eastAsia="仿宋" w:cstheme="minorEastAsia"/>
                <w:color w:val="auto"/>
                <w:kern w:val="0"/>
                <w:sz w:val="21"/>
              </w:rPr>
              <w:t>Marxist View of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lang w:val="en-US" w:eastAsia="zh-CN"/>
              </w:rPr>
              <w:t>20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rPr>
              <w:t>1</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2"/>
                <w:sz w:val="21"/>
                <w:szCs w:val="21"/>
                <w:lang w:val="en-US" w:eastAsia="zh-CN" w:bidi="ar-SA"/>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hint="eastAsia" w:ascii="仿宋" w:hAnsi="仿宋" w:eastAsia="仿宋" w:cstheme="minorEastAsia"/>
                <w:color w:val="000000" w:themeColor="text1"/>
                <w:kern w:val="0"/>
                <w:sz w:val="21"/>
                <w:szCs w:val="21"/>
                <w:lang w:val="en-US" w:eastAsia="zh-CN" w:bidi="ar-SA"/>
                <w14:textFill>
                  <w14:solidFill>
                    <w14:schemeClr w14:val="tx1"/>
                  </w14:solidFill>
                </w14:textFill>
              </w:rPr>
            </w:pPr>
            <w:r>
              <w:rPr>
                <w:rFonts w:hint="eastAsia" w:ascii="仿宋" w:hAnsi="仿宋" w:eastAsia="仿宋" w:cstheme="minorEastAsia"/>
                <w:color w:val="auto"/>
                <w:sz w:val="21"/>
              </w:rPr>
              <w:t>各方向</w:t>
            </w:r>
            <w:r>
              <w:rPr>
                <w:rFonts w:hint="eastAsia" w:ascii="仿宋" w:hAnsi="仿宋" w:eastAsia="仿宋" w:cstheme="minorEastAsia"/>
                <w:color w:val="auto"/>
                <w:sz w:val="21"/>
                <w:lang w:eastAsia="zh-CN"/>
              </w:rPr>
              <w:t>选修</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theme="minorEastAsia"/>
                <w:color w:val="auto"/>
                <w:kern w:val="0"/>
                <w:sz w:val="21"/>
              </w:rPr>
              <w:t>055200mc31</w:t>
            </w:r>
          </w:p>
        </w:tc>
        <w:tc>
          <w:tcPr>
            <w:tcW w:w="3260" w:type="dxa"/>
            <w:tcBorders>
              <w:top w:val="nil"/>
              <w:left w:val="nil"/>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融合新闻理论</w:t>
            </w:r>
          </w:p>
          <w:p>
            <w:pPr>
              <w:widowControl/>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ascii="仿宋" w:hAnsi="仿宋" w:eastAsia="仿宋" w:cstheme="minorEastAsia"/>
                <w:color w:val="auto"/>
                <w:kern w:val="0"/>
                <w:sz w:val="21"/>
              </w:rPr>
              <w:t>Theories of Convergent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32</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融合新闻制作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Convergent News Production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非虚构写作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Non-Fictional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theme="minorEastAsia"/>
                <w:color w:val="auto"/>
                <w:kern w:val="0"/>
                <w:sz w:val="21"/>
              </w:rPr>
              <w:t>055200mc</w:t>
            </w:r>
            <w:r>
              <w:rPr>
                <w:rFonts w:hint="eastAsia" w:ascii="仿宋" w:hAnsi="仿宋" w:eastAsia="仿宋" w:cstheme="minorEastAsia"/>
                <w:color w:val="auto"/>
                <w:kern w:val="0"/>
                <w:sz w:val="21"/>
                <w:lang w:val="en-US" w:eastAsia="zh-CN"/>
              </w:rPr>
              <w:t>60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传播修辞学</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Communication Rhetoric</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w:t>
            </w:r>
            <w:r>
              <w:rPr>
                <w:rFonts w:hint="eastAsia" w:ascii="仿宋" w:hAnsi="仿宋" w:eastAsia="仿宋" w:cs="宋体"/>
                <w:color w:val="auto"/>
                <w:sz w:val="21"/>
                <w:lang w:val="en-US" w:eastAsia="zh-CN"/>
              </w:rPr>
              <w:t>36</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新闻评论写作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News Commentary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ascii="仿宋" w:hAnsi="仿宋" w:eastAsia="仿宋" w:cstheme="minorEastAsia"/>
                <w:b w:val="0"/>
                <w:bCs/>
                <w:color w:val="auto"/>
                <w:kern w:val="0"/>
                <w:sz w:val="21"/>
              </w:rPr>
              <w:t>055200mc44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b w:val="0"/>
                <w:bCs/>
                <w:color w:val="auto"/>
                <w:kern w:val="0"/>
                <w:sz w:val="21"/>
              </w:rPr>
            </w:pPr>
            <w:r>
              <w:rPr>
                <w:rFonts w:hint="eastAsia" w:ascii="仿宋" w:hAnsi="仿宋" w:eastAsia="仿宋" w:cstheme="minorEastAsia"/>
                <w:b w:val="0"/>
                <w:bCs/>
                <w:color w:val="auto"/>
                <w:kern w:val="0"/>
                <w:sz w:val="21"/>
              </w:rPr>
              <w:t>媒介文化</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Media Culture</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b w:val="0"/>
                <w:bCs/>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theme="minorEastAsia"/>
                <w:color w:val="auto"/>
                <w:kern w:val="0"/>
                <w:sz w:val="21"/>
                <w:lang w:val="en-US" w:eastAsia="zh-CN"/>
              </w:rPr>
              <w:t>055200mc78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hint="eastAsia" w:ascii="仿宋" w:hAnsi="仿宋" w:eastAsia="仿宋" w:cstheme="minorEastAsia"/>
                <w:color w:val="auto"/>
                <w:kern w:val="0"/>
                <w:sz w:val="21"/>
              </w:rPr>
            </w:pPr>
            <w:r>
              <w:rPr>
                <w:rFonts w:hint="eastAsia" w:ascii="仿宋" w:hAnsi="仿宋" w:eastAsia="仿宋" w:cstheme="minorEastAsia"/>
                <w:color w:val="auto"/>
                <w:kern w:val="0"/>
                <w:sz w:val="21"/>
              </w:rPr>
              <w:t xml:space="preserve">视听传播 </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Audio-visual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theme="minorEastAsia"/>
                <w:b w:val="0"/>
                <w:bCs/>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b w:val="0"/>
                <w:bCs/>
                <w:color w:val="auto"/>
                <w:kern w:val="0"/>
                <w:sz w:val="21"/>
                <w:szCs w:val="21"/>
                <w:lang w:val="en-US" w:eastAsia="zh-CN" w:bidi="ar-SA"/>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b w:val="0"/>
                <w:bCs/>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b w:val="0"/>
                <w:bCs/>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b w:val="0"/>
                <w:bCs/>
                <w:color w:val="auto"/>
                <w:kern w:val="0"/>
                <w:sz w:val="21"/>
              </w:rPr>
              <w:t>方向1选修课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050301mc36</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广告理论与实务</w:t>
            </w:r>
          </w:p>
          <w:p>
            <w:pPr>
              <w:spacing w:line="28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Theories and Practices of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数字营销传播理论与实务</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Theories and Practices of Digital Marketing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050302mc18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品牌战略与传播研究</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Study of Branding Strategy and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713"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0503z1mc03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消费者行为研究</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Study of Consumer Behaviors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数据挖掘与应用</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Data Mining and Application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055200mc40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计算广告学</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Computational Advertising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方向2选修课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055200mc79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数据挖掘与分析</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 xml:space="preserve">Data </w:t>
            </w:r>
            <w:r>
              <w:rPr>
                <w:rFonts w:ascii="仿宋" w:hAnsi="仿宋" w:eastAsia="仿宋" w:cstheme="minorEastAsia"/>
                <w:color w:val="auto"/>
                <w:kern w:val="0"/>
                <w:sz w:val="21"/>
              </w:rPr>
              <w:t>M</w:t>
            </w:r>
            <w:r>
              <w:rPr>
                <w:rFonts w:hint="eastAsia" w:ascii="仿宋" w:hAnsi="仿宋" w:eastAsia="仿宋" w:cstheme="minorEastAsia"/>
                <w:color w:val="auto"/>
                <w:kern w:val="0"/>
                <w:sz w:val="21"/>
              </w:rPr>
              <w:t xml:space="preserve">ining and </w:t>
            </w:r>
            <w:r>
              <w:rPr>
                <w:rFonts w:ascii="仿宋" w:hAnsi="仿宋" w:eastAsia="仿宋" w:cstheme="minorEastAsia"/>
                <w:color w:val="auto"/>
                <w:kern w:val="0"/>
                <w:sz w:val="21"/>
              </w:rPr>
              <w:t>A</w:t>
            </w:r>
            <w:r>
              <w:rPr>
                <w:rFonts w:hint="eastAsia" w:ascii="仿宋" w:hAnsi="仿宋" w:eastAsia="仿宋" w:cstheme="minorEastAsia"/>
                <w:color w:val="auto"/>
                <w:kern w:val="0"/>
                <w:sz w:val="21"/>
              </w:rPr>
              <w:t>nalysis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055200mc80</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计算传播学研究方法和前沿</w:t>
            </w:r>
            <w:r>
              <w:rPr>
                <w:rFonts w:ascii="仿宋" w:hAnsi="仿宋" w:eastAsia="仿宋" w:cstheme="minorEastAsia"/>
                <w:color w:val="auto"/>
                <w:kern w:val="0"/>
                <w:sz w:val="21"/>
              </w:rPr>
              <w:t xml:space="preserve">Computational </w:t>
            </w:r>
            <w:r>
              <w:rPr>
                <w:rFonts w:hint="eastAsia" w:ascii="仿宋" w:hAnsi="仿宋" w:eastAsia="仿宋" w:cstheme="minorEastAsia"/>
                <w:color w:val="auto"/>
                <w:kern w:val="0"/>
                <w:sz w:val="21"/>
              </w:rPr>
              <w:t>C</w:t>
            </w:r>
            <w:r>
              <w:rPr>
                <w:rFonts w:ascii="仿宋" w:hAnsi="仿宋" w:eastAsia="仿宋" w:cstheme="minorEastAsia"/>
                <w:color w:val="auto"/>
                <w:kern w:val="0"/>
                <w:sz w:val="21"/>
              </w:rPr>
              <w:t xml:space="preserve">ommunication </w:t>
            </w:r>
            <w:r>
              <w:rPr>
                <w:rFonts w:hint="eastAsia" w:ascii="仿宋" w:hAnsi="仿宋" w:eastAsia="仿宋" w:cstheme="minorEastAsia"/>
                <w:color w:val="auto"/>
                <w:kern w:val="0"/>
                <w:sz w:val="21"/>
              </w:rPr>
              <w:t>R</w:t>
            </w:r>
            <w:r>
              <w:rPr>
                <w:rFonts w:ascii="仿宋" w:hAnsi="仿宋" w:eastAsia="仿宋" w:cstheme="minorEastAsia"/>
                <w:color w:val="auto"/>
                <w:kern w:val="0"/>
                <w:sz w:val="21"/>
              </w:rPr>
              <w:t xml:space="preserve">esearch </w:t>
            </w:r>
            <w:r>
              <w:rPr>
                <w:rFonts w:hint="eastAsia" w:ascii="仿宋" w:hAnsi="仿宋" w:eastAsia="仿宋" w:cstheme="minorEastAsia"/>
                <w:color w:val="auto"/>
                <w:kern w:val="0"/>
                <w:sz w:val="21"/>
              </w:rPr>
              <w:t>M</w:t>
            </w:r>
            <w:r>
              <w:rPr>
                <w:rFonts w:ascii="仿宋" w:hAnsi="仿宋" w:eastAsia="仿宋" w:cstheme="minorEastAsia"/>
                <w:color w:val="auto"/>
                <w:kern w:val="0"/>
                <w:sz w:val="21"/>
              </w:rPr>
              <w:t xml:space="preserve">ethods and </w:t>
            </w:r>
            <w:r>
              <w:rPr>
                <w:rFonts w:hint="eastAsia" w:ascii="仿宋" w:hAnsi="仿宋" w:eastAsia="仿宋" w:cstheme="minorEastAsia"/>
                <w:color w:val="auto"/>
                <w:kern w:val="0"/>
                <w:sz w:val="21"/>
              </w:rPr>
              <w:t>A</w:t>
            </w:r>
            <w:r>
              <w:rPr>
                <w:rFonts w:ascii="仿宋" w:hAnsi="仿宋" w:eastAsia="仿宋" w:cstheme="minorEastAsia"/>
                <w:color w:val="auto"/>
                <w:kern w:val="0"/>
                <w:sz w:val="21"/>
              </w:rPr>
              <w:t>dvances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055200mc65</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健康传播</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Health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auto"/>
                <w:sz w:val="21"/>
              </w:rPr>
              <w:t>055200mc33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数据新闻</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Data Journalism</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方向1、3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055200mc83</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社会网络与社会计算</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Social Network &amp; Social Computing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055200mc84</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社交用户画像分析</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User Profile Analysis on Social Media</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方向3</w:t>
            </w:r>
            <w:r>
              <w:rPr>
                <w:rFonts w:hint="eastAsia" w:ascii="仿宋" w:hAnsi="仿宋" w:eastAsia="仿宋" w:cstheme="minorEastAsia"/>
                <w:color w:val="auto"/>
                <w:kern w:val="0"/>
                <w:sz w:val="21"/>
                <w:lang w:eastAsia="zh-CN"/>
              </w:rPr>
              <w:t>、</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055200mc55</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国际传播理论</w:t>
            </w:r>
          </w:p>
          <w:p>
            <w:pPr>
              <w:spacing w:line="28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Theories of International 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055200mc57</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公共外交</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Public Diplomacy</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1</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055200mc87</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全球危机传播</w:t>
            </w:r>
          </w:p>
          <w:p>
            <w:pPr>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 xml:space="preserve">Global Crisis </w:t>
            </w:r>
            <w:r>
              <w:rPr>
                <w:rFonts w:ascii="仿宋" w:hAnsi="仿宋" w:eastAsia="仿宋"/>
                <w:color w:val="auto"/>
                <w:sz w:val="21"/>
              </w:rPr>
              <w:t>Communication</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055200mc88</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 xml:space="preserve">国际关系 </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International Relations</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345" w:hRule="atLeast"/>
          <w:jc w:val="center"/>
        </w:trPr>
        <w:tc>
          <w:tcPr>
            <w:tcW w:w="748" w:type="dxa"/>
            <w:vMerge w:val="continue"/>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055200mc89</w:t>
            </w:r>
          </w:p>
        </w:tc>
        <w:tc>
          <w:tcPr>
            <w:tcW w:w="3260" w:type="dxa"/>
            <w:tcBorders>
              <w:top w:val="nil"/>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auto"/>
                <w:kern w:val="0"/>
                <w:sz w:val="21"/>
              </w:rPr>
            </w:pPr>
            <w:r>
              <w:rPr>
                <w:rFonts w:hint="eastAsia" w:ascii="仿宋" w:hAnsi="仿宋" w:eastAsia="仿宋" w:cstheme="minorEastAsia"/>
                <w:color w:val="auto"/>
                <w:kern w:val="0"/>
                <w:sz w:val="21"/>
              </w:rPr>
              <w:t>英文学术写作</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Academic English Writing</w:t>
            </w:r>
          </w:p>
        </w:tc>
        <w:tc>
          <w:tcPr>
            <w:tcW w:w="567" w:type="dxa"/>
            <w:tcBorders>
              <w:top w:val="nil"/>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nil"/>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nil"/>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nil"/>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nil"/>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435"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宋体"/>
                <w:color w:val="auto"/>
                <w:sz w:val="21"/>
              </w:rPr>
              <w:t>055200mc56</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olor w:val="auto"/>
                <w:sz w:val="21"/>
              </w:rPr>
            </w:pPr>
            <w:r>
              <w:rPr>
                <w:rFonts w:hint="eastAsia" w:ascii="仿宋" w:hAnsi="仿宋" w:eastAsia="仿宋"/>
                <w:color w:val="auto"/>
                <w:sz w:val="21"/>
              </w:rPr>
              <w:t>跨文化传播</w:t>
            </w:r>
          </w:p>
          <w:p>
            <w:pPr>
              <w:spacing w:line="300" w:lineRule="exact"/>
              <w:ind w:firstLine="0" w:firstLineChars="0"/>
              <w:jc w:val="center"/>
              <w:rPr>
                <w:rFonts w:ascii="仿宋" w:hAnsi="仿宋" w:eastAsia="仿宋"/>
                <w:color w:val="000000" w:themeColor="text1"/>
                <w:sz w:val="21"/>
                <w14:textFill>
                  <w14:solidFill>
                    <w14:schemeClr w14:val="tx1"/>
                  </w14:solidFill>
                </w14:textFill>
              </w:rPr>
            </w:pPr>
            <w:r>
              <w:rPr>
                <w:rFonts w:hint="eastAsia" w:ascii="仿宋" w:hAnsi="仿宋" w:eastAsia="仿宋"/>
                <w:color w:val="auto"/>
                <w:sz w:val="21"/>
              </w:rPr>
              <w:t>Intercultural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3</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auto"/>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auto"/>
                <w:kern w:val="0"/>
                <w:sz w:val="21"/>
              </w:rPr>
              <w:t>方向4选修课</w:t>
            </w:r>
          </w:p>
        </w:tc>
      </w:tr>
      <w:tr>
        <w:tblPrEx>
          <w:tblCellMar>
            <w:top w:w="0" w:type="dxa"/>
            <w:left w:w="108" w:type="dxa"/>
            <w:bottom w:w="0" w:type="dxa"/>
            <w:right w:w="108" w:type="dxa"/>
          </w:tblCellMar>
        </w:tblPrEx>
        <w:trPr>
          <w:trHeight w:val="435"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sz w:val="21"/>
              </w:rPr>
              <w:t>055200mc65</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280" w:lineRule="exact"/>
              <w:ind w:firstLine="0" w:firstLineChars="0"/>
              <w:jc w:val="center"/>
              <w:rPr>
                <w:rFonts w:hint="eastAsia" w:ascii="仿宋" w:hAnsi="仿宋" w:eastAsia="仿宋" w:cstheme="minorEastAsia"/>
                <w:color w:val="auto"/>
                <w:kern w:val="0"/>
                <w:sz w:val="21"/>
                <w:lang w:eastAsia="zh-CN"/>
              </w:rPr>
            </w:pPr>
            <w:r>
              <w:rPr>
                <w:rFonts w:hint="eastAsia" w:ascii="仿宋" w:hAnsi="仿宋" w:eastAsia="仿宋" w:cstheme="minorEastAsia"/>
                <w:color w:val="auto"/>
                <w:kern w:val="0"/>
                <w:sz w:val="21"/>
              </w:rPr>
              <w:t>健康传播</w:t>
            </w:r>
            <w:r>
              <w:rPr>
                <w:rFonts w:hint="eastAsia" w:ascii="仿宋" w:hAnsi="仿宋" w:eastAsia="仿宋" w:cstheme="minorEastAsia"/>
                <w:color w:val="auto"/>
                <w:kern w:val="0"/>
                <w:sz w:val="21"/>
                <w:lang w:eastAsia="zh-CN"/>
              </w:rPr>
              <w:t>（出版理论与实务）</w:t>
            </w:r>
          </w:p>
          <w:p>
            <w:pPr>
              <w:spacing w:line="28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Health Communication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lang w:val="en-US" w:eastAsia="zh-CN"/>
              </w:rPr>
              <w:t>40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hint="eastAsia" w:ascii="仿宋" w:hAnsi="仿宋" w:eastAsia="仿宋" w:cstheme="minorEastAsia"/>
                <w:color w:val="auto"/>
                <w:kern w:val="2"/>
                <w:sz w:val="21"/>
                <w:szCs w:val="21"/>
                <w:lang w:val="en-US" w:eastAsia="zh-CN" w:bidi="ar-SA"/>
              </w:rPr>
            </w:pPr>
            <w:r>
              <w:rPr>
                <w:rFonts w:hint="eastAsia" w:ascii="仿宋" w:hAnsi="仿宋" w:eastAsia="仿宋" w:cstheme="minorEastAsia"/>
                <w:color w:val="auto"/>
                <w:sz w:val="21"/>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hint="eastAsia" w:ascii="仿宋" w:hAnsi="仿宋" w:eastAsia="仿宋" w:cstheme="minorEastAsia"/>
                <w:color w:val="auto"/>
                <w:kern w:val="0"/>
                <w:sz w:val="21"/>
                <w:szCs w:val="21"/>
                <w:lang w:val="en-US" w:eastAsia="zh-CN" w:bidi="ar-SA"/>
              </w:rPr>
            </w:pPr>
            <w:r>
              <w:rPr>
                <w:rFonts w:hint="eastAsia" w:ascii="仿宋" w:hAnsi="仿宋" w:eastAsia="仿宋" w:cstheme="minorEastAsia"/>
                <w:color w:val="auto"/>
                <w:kern w:val="0"/>
                <w:sz w:val="21"/>
              </w:rPr>
              <w:t>方向</w:t>
            </w:r>
            <w:r>
              <w:rPr>
                <w:rFonts w:hint="eastAsia" w:ascii="仿宋" w:hAnsi="仿宋" w:eastAsia="仿宋" w:cstheme="minorEastAsia"/>
                <w:color w:val="auto"/>
                <w:kern w:val="0"/>
                <w:sz w:val="21"/>
                <w:lang w:val="en-US" w:eastAsia="zh-CN"/>
              </w:rPr>
              <w:t>5</w:t>
            </w:r>
            <w:r>
              <w:rPr>
                <w:rFonts w:hint="eastAsia" w:ascii="仿宋" w:hAnsi="仿宋" w:eastAsia="仿宋" w:cstheme="minorEastAsia"/>
                <w:color w:val="auto"/>
                <w:kern w:val="0"/>
                <w:sz w:val="21"/>
              </w:rPr>
              <w:t>选修课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055200mc61</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中国媒体研究</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Study on Chinese Media</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1</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留学生必选课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055200mc62</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港澳台媒体研究</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Study on Media in Hong Kong, Macau and Taiwan</w:t>
            </w:r>
          </w:p>
        </w:tc>
        <w:tc>
          <w:tcPr>
            <w:tcW w:w="567"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20</w:t>
            </w:r>
          </w:p>
        </w:tc>
        <w:tc>
          <w:tcPr>
            <w:tcW w:w="567" w:type="dxa"/>
            <w:tcBorders>
              <w:top w:val="single" w:color="auto" w:sz="4" w:space="0"/>
              <w:left w:val="single" w:color="000000"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1</w:t>
            </w:r>
          </w:p>
        </w:tc>
        <w:tc>
          <w:tcPr>
            <w:tcW w:w="709" w:type="dxa"/>
            <w:tcBorders>
              <w:top w:val="single" w:color="auto" w:sz="4" w:space="0"/>
              <w:left w:val="single" w:color="000000" w:sz="4" w:space="0"/>
              <w:bottom w:val="single" w:color="auto"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850" w:type="dxa"/>
            <w:tcBorders>
              <w:top w:val="single" w:color="auto" w:sz="4" w:space="0"/>
              <w:left w:val="single" w:color="auto" w:sz="4" w:space="0"/>
              <w:bottom w:val="single" w:color="auto"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港澳台侨生必选课</w:t>
            </w:r>
          </w:p>
        </w:tc>
      </w:tr>
      <w:tr>
        <w:tblPrEx>
          <w:tblCellMar>
            <w:top w:w="0" w:type="dxa"/>
            <w:left w:w="108" w:type="dxa"/>
            <w:bottom w:w="0" w:type="dxa"/>
            <w:right w:w="108" w:type="dxa"/>
          </w:tblCellMar>
        </w:tblPrEx>
        <w:trPr>
          <w:trHeight w:val="13" w:hRule="atLeast"/>
          <w:jc w:val="center"/>
        </w:trPr>
        <w:tc>
          <w:tcPr>
            <w:tcW w:w="748" w:type="dxa"/>
            <w:tcBorders>
              <w:left w:val="single" w:color="000000" w:sz="8"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p>
        </w:tc>
        <w:tc>
          <w:tcPr>
            <w:tcW w:w="1358" w:type="dxa"/>
            <w:tcBorders>
              <w:top w:val="single" w:color="auto" w:sz="4" w:space="0"/>
              <w:left w:val="single" w:color="000000" w:sz="4" w:space="0"/>
              <w:bottom w:val="single" w:color="auto"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宋体"/>
                <w:color w:val="000000" w:themeColor="text1"/>
                <w:sz w:val="21"/>
                <w14:textFill>
                  <w14:solidFill>
                    <w14:schemeClr w14:val="tx1"/>
                  </w14:solidFill>
                </w14:textFill>
              </w:rPr>
            </w:pPr>
            <w:r>
              <w:rPr>
                <w:rFonts w:hint="eastAsia" w:ascii="仿宋" w:hAnsi="仿宋" w:eastAsia="仿宋" w:cs="宋体"/>
                <w:color w:val="000000" w:themeColor="text1"/>
                <w:sz w:val="21"/>
                <w14:textFill>
                  <w14:solidFill>
                    <w14:schemeClr w14:val="tx1"/>
                  </w14:solidFill>
                </w14:textFill>
              </w:rPr>
              <w:t>055200mc63</w:t>
            </w:r>
          </w:p>
        </w:tc>
        <w:tc>
          <w:tcPr>
            <w:tcW w:w="3260" w:type="dxa"/>
            <w:tcBorders>
              <w:top w:val="single" w:color="auto" w:sz="4" w:space="0"/>
              <w:left w:val="nil"/>
              <w:bottom w:val="single" w:color="auto" w:sz="4" w:space="0"/>
              <w:right w:val="single" w:color="000000" w:sz="4" w:space="0"/>
            </w:tcBorders>
            <w:tcMar>
              <w:top w:w="57" w:type="dxa"/>
              <w:bottom w:w="57" w:type="dxa"/>
            </w:tcMar>
            <w:vAlign w:val="center"/>
          </w:tcPr>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海外华文传媒</w:t>
            </w:r>
          </w:p>
          <w:p>
            <w:pPr>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Overseas Chinese Media</w:t>
            </w:r>
          </w:p>
        </w:tc>
        <w:tc>
          <w:tcPr>
            <w:tcW w:w="567" w:type="dxa"/>
            <w:tcBorders>
              <w:top w:val="single" w:color="auto" w:sz="4" w:space="0"/>
              <w:left w:val="single" w:color="000000" w:sz="4" w:space="0"/>
              <w:bottom w:val="single" w:color="000000" w:sz="4" w:space="0"/>
              <w:right w:val="single" w:color="000000"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40</w:t>
            </w:r>
          </w:p>
        </w:tc>
        <w:tc>
          <w:tcPr>
            <w:tcW w:w="567" w:type="dxa"/>
            <w:tcBorders>
              <w:top w:val="single" w:color="auto" w:sz="4" w:space="0"/>
              <w:left w:val="single" w:color="000000"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2</w:t>
            </w:r>
          </w:p>
        </w:tc>
        <w:tc>
          <w:tcPr>
            <w:tcW w:w="709" w:type="dxa"/>
            <w:tcBorders>
              <w:top w:val="single" w:color="auto" w:sz="4" w:space="0"/>
              <w:left w:val="single" w:color="000000" w:sz="4" w:space="0"/>
              <w:bottom w:val="single" w:color="000000" w:sz="4" w:space="0"/>
              <w:right w:val="single" w:color="auto" w:sz="4" w:space="0"/>
            </w:tcBorders>
            <w:tcMar>
              <w:top w:w="57" w:type="dxa"/>
              <w:bottom w:w="57" w:type="dxa"/>
            </w:tcMar>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3</w:t>
            </w:r>
          </w:p>
        </w:tc>
        <w:tc>
          <w:tcPr>
            <w:tcW w:w="850" w:type="dxa"/>
            <w:tcBorders>
              <w:top w:val="single" w:color="auto" w:sz="4" w:space="0"/>
              <w:left w:val="single" w:color="auto" w:sz="4" w:space="0"/>
              <w:bottom w:val="single" w:color="000000" w:sz="4" w:space="0"/>
              <w:right w:val="single" w:color="auto" w:sz="4" w:space="0"/>
            </w:tcBorders>
            <w:vAlign w:val="center"/>
          </w:tcPr>
          <w:p>
            <w:pPr>
              <w:widowControl/>
              <w:spacing w:line="300" w:lineRule="exact"/>
              <w:ind w:firstLine="0" w:firstLineChars="0"/>
              <w:jc w:val="center"/>
              <w:rPr>
                <w:rFonts w:ascii="仿宋" w:hAnsi="仿宋" w:eastAsia="仿宋" w:cstheme="minorEastAsia"/>
                <w:color w:val="000000" w:themeColor="text1"/>
                <w:sz w:val="21"/>
                <w14:textFill>
                  <w14:solidFill>
                    <w14:schemeClr w14:val="tx1"/>
                  </w14:solidFill>
                </w14:textFill>
              </w:rPr>
            </w:pPr>
            <w:r>
              <w:rPr>
                <w:rFonts w:hint="eastAsia" w:ascii="仿宋" w:hAnsi="仿宋" w:eastAsia="仿宋" w:cstheme="minorEastAsia"/>
                <w:color w:val="000000" w:themeColor="text1"/>
                <w:sz w:val="21"/>
                <w14:textFill>
                  <w14:solidFill>
                    <w14:schemeClr w14:val="tx1"/>
                  </w14:solidFill>
                </w14:textFill>
              </w:rPr>
              <w:t>本单位</w:t>
            </w:r>
          </w:p>
        </w:tc>
        <w:tc>
          <w:tcPr>
            <w:tcW w:w="850" w:type="dxa"/>
            <w:tcBorders>
              <w:top w:val="single" w:color="auto" w:sz="4" w:space="0"/>
              <w:left w:val="single" w:color="auto" w:sz="4" w:space="0"/>
              <w:bottom w:val="single" w:color="000000" w:sz="4" w:space="0"/>
              <w:right w:val="single" w:color="000000" w:sz="4" w:space="0"/>
            </w:tcBorders>
            <w:vAlign w:val="center"/>
          </w:tcPr>
          <w:p>
            <w:pPr>
              <w:widowControl/>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ascii="仿宋" w:hAnsi="仿宋" w:eastAsia="仿宋" w:cs="宋体"/>
                <w:color w:val="000000" w:themeColor="text1"/>
                <w:sz w:val="21"/>
                <w14:textFill>
                  <w14:solidFill>
                    <w14:schemeClr w14:val="tx1"/>
                  </w14:solidFill>
                </w14:textFill>
              </w:rPr>
              <w:t>考试或考查</w:t>
            </w:r>
          </w:p>
        </w:tc>
        <w:tc>
          <w:tcPr>
            <w:tcW w:w="968" w:type="dxa"/>
            <w:tcBorders>
              <w:top w:val="single" w:color="auto" w:sz="4" w:space="0"/>
              <w:left w:val="single" w:color="000000" w:sz="4" w:space="0"/>
              <w:bottom w:val="single" w:color="auto" w:sz="4" w:space="0"/>
              <w:right w:val="single" w:color="000000" w:sz="8" w:space="0"/>
            </w:tcBorders>
            <w:tcMar>
              <w:top w:w="57" w:type="dxa"/>
              <w:bottom w:w="57" w:type="dxa"/>
            </w:tcMar>
            <w:vAlign w:val="center"/>
          </w:tcPr>
          <w:p>
            <w:pPr>
              <w:widowControl/>
              <w:adjustRightInd w:val="0"/>
              <w:snapToGrid w:val="0"/>
              <w:spacing w:line="300" w:lineRule="exact"/>
              <w:ind w:firstLine="0" w:firstLineChars="0"/>
              <w:jc w:val="center"/>
              <w:rPr>
                <w:rFonts w:ascii="仿宋" w:hAnsi="仿宋" w:eastAsia="仿宋" w:cstheme="minorEastAsia"/>
                <w:color w:val="000000" w:themeColor="text1"/>
                <w:kern w:val="0"/>
                <w:sz w:val="21"/>
                <w14:textFill>
                  <w14:solidFill>
                    <w14:schemeClr w14:val="tx1"/>
                  </w14:solidFill>
                </w14:textFill>
              </w:rPr>
            </w:pPr>
            <w:r>
              <w:rPr>
                <w:rFonts w:hint="eastAsia" w:ascii="仿宋" w:hAnsi="仿宋" w:eastAsia="仿宋" w:cstheme="minorEastAsia"/>
                <w:color w:val="000000" w:themeColor="text1"/>
                <w:kern w:val="0"/>
                <w:sz w:val="21"/>
                <w14:textFill>
                  <w14:solidFill>
                    <w14:schemeClr w14:val="tx1"/>
                  </w14:solidFill>
                </w14:textFill>
              </w:rPr>
              <w:t>留学生、港澳台侨生选修课</w:t>
            </w:r>
          </w:p>
        </w:tc>
      </w:tr>
    </w:tbl>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说明</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课程成绩采用百分制。学位课程成绩70 分或以上为合格，可以获得相应学分；非学位课程成绩 60 分为合格，可以获得相应学分。</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六、培养计划</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硕士生应在入学后3个月内，根据入学当年本专业学位类别的培养方案，在导师的指导下，结合研究方向和自身特点，制订个人培养计划，并录入研究生教育综合管理系统中，经导师确认后，由学院批准备案。个人培养计划一经制订，在培养过程中必须严格按计划执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七、开题报告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专业学位硕士生入学后，应在导师指导下拟定研究方向和论文题目，最迟于第三学期完成学位论文开题报告。开题报告具体要求按暨南大学有关规定执行。</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开题报告应就选题意义、国内外研究综述、主要研究内容、预期目标、研究方案等做出科学论证，写出书面报告，并在学位点内进行公开报告，听取专家意见并进行必要的修改和调整。</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经评审通过的开题报告应上传至研究生教育综合管理系统，并以书面形式提交学院研究生培养管理部门备案。开题未能通过的应在至少3个月后重新申请开题且导师必须回避。开题报告通过者如因特殊情况须变更学位论文课题研究者，应重新进行开题报告。</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八、专业实践</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专业实践为必修环节，计4学分。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应届本科毕业生及未在新闻与传播行业工作满一年以上的非应届本科毕业生攻读本专业学位期间，必须保证参加不少于6个月的专业实习；已在新闻与传播各行业工作满一年以上的非应届本科毕业生攻读本专业学位期间，不必安排专门的专业实习，但应按专业实习的要求提交相关作品及心得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专业实习具体要求按照暨南大学相关实践管理规定执行。经考核合格后取得相应学分。</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九、中期考核</w:t>
      </w:r>
    </w:p>
    <w:p>
      <w:pPr>
        <w:spacing w:line="440" w:lineRule="exact"/>
        <w:ind w:firstLine="560"/>
        <w:rPr>
          <w:rFonts w:hint="eastAsia" w:ascii="仿宋" w:hAnsi="仿宋" w:eastAsia="仿宋"/>
          <w:sz w:val="28"/>
          <w:szCs w:val="28"/>
          <w:highlight w:val="none"/>
        </w:rPr>
      </w:pPr>
      <w:r>
        <w:rPr>
          <w:rFonts w:hint="eastAsia" w:ascii="仿宋" w:hAnsi="仿宋" w:eastAsia="仿宋"/>
          <w:sz w:val="28"/>
          <w:szCs w:val="28"/>
          <w:highlight w:val="none"/>
        </w:rPr>
        <w:t>中期考核最迟于第四学期完成。结合对研究方法、专业课程、必读书目内容和论文撰写情况进行笔试和面试，具体要求按暨南大学有关规定执行。</w:t>
      </w:r>
    </w:p>
    <w:p>
      <w:pPr>
        <w:spacing w:line="440" w:lineRule="exact"/>
        <w:ind w:firstLine="560"/>
        <w:rPr>
          <w:rFonts w:hint="eastAsia" w:ascii="仿宋" w:hAnsi="仿宋" w:eastAsia="仿宋"/>
          <w:sz w:val="28"/>
          <w:szCs w:val="28"/>
          <w:highlight w:val="none"/>
        </w:rPr>
      </w:pPr>
      <w:r>
        <w:rPr>
          <w:rFonts w:hint="eastAsia" w:ascii="仿宋" w:hAnsi="仿宋" w:eastAsia="仿宋"/>
          <w:sz w:val="28"/>
          <w:szCs w:val="28"/>
          <w:highlight w:val="none"/>
        </w:rPr>
        <w:t>中期考核旨在对照培养方案的要求，从德智体美劳各方面对研究生的学业进展情况进行全面检查，并对其后续学业安排提出意见、建议和要求。本学科中期考核每年安排两次，分别在每年的5月和11月进行，学生可自由选择参加。硕士研究生二次考核仍为不合格者一般给予退学处理。</w:t>
      </w:r>
    </w:p>
    <w:p>
      <w:pPr>
        <w:spacing w:line="440" w:lineRule="exact"/>
        <w:ind w:firstLine="560"/>
        <w:rPr>
          <w:rFonts w:hint="eastAsia" w:ascii="仿宋" w:hAnsi="仿宋" w:eastAsia="仿宋"/>
          <w:sz w:val="28"/>
          <w:szCs w:val="28"/>
          <w:highlight w:val="none"/>
        </w:rPr>
      </w:pPr>
      <w:r>
        <w:rPr>
          <w:rFonts w:hint="eastAsia" w:ascii="仿宋" w:hAnsi="仿宋" w:eastAsia="仿宋"/>
          <w:sz w:val="28"/>
          <w:szCs w:val="28"/>
          <w:highlight w:val="none"/>
        </w:rPr>
        <w:t>中期考核的形式包括笔试和面试，各100分。考试内容为专业笔试、思想政治素质考核及学位论文写作情况汇报等，其中专业笔试主要考察对培养方案规定的研究方法、必读书目阅读情况和专业课程知识综合掌握情况，面试主要由硕士生进行学位论文撰写的阶段报告。笔试与面试成绩的平均分达到75分以上（含75分）为合格。考核等级为“合格”及以上的研究生，方可参加论文预答辩，以及进入毕业、学位申请环节。</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十、学位（毕业）论文</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（一）关于新闻与传播专业硕士学位（毕业）论文考核形式的说明</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考核目的：重点考核新闻与传播专业硕士运用所学专业理论知识、方法，分析和解决实际问题的能力，全面检验专业学位硕士研究生的专业学习能力、新闻报道能力、社会调研能力和学术研究能力。</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考核形式：专业学位硕士研究生的毕业考核形式可结合自身实际和导师要求任选以下一种，可以是学术性学位论文，也可以是调研报告、案例研究、专业作品、毕业设计等多种形式。学位论文答辩工作按暨南大学有关规定进行。</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学术性学位论文。适用于所有专业方向。学术性学位论文须完成一篇不少于45000字以上的学位论文。论文既要有一定的理论价值和创新之处，又要考虑研究方法的规范性、研究对象的可行性以及研究结论的社会意义。</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调研报告。适用于所有专业方向。研究生可以选择某一区域的受众或用户群体，就其媒体使用和接触情况进行田野调查或问卷调查，要求有第一手材料、第一手访谈、第一手数据，研究结论分析有一定的现实指导意义。调研报告的字数不少于35000字。</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案例研究。适用于所有专业方向。要求研究生针对政府部门、企事业单位和媒体公司的创新性传播实践进行案例研究，案例研究要在充分调研和访谈的基础上，总结梳理传播实践的经验和问题，并对某一传播领域未来的改革和发展趋势提出建设性的意见。案例研究报告字数不少于35000字。</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专业作品。适用于融合新闻方向。要求研究生在媒体实习期间，作为主要参与人完成并制作一篇有较大社会影响的深度报道，并能结合报道的选题策划、报道手法和特色撰写一篇不少于30000字的新闻业务研讨性论文；或作为主要参与人完成一部不少于 30 分钟的音视频作品，并结合作品的选题策划叙事技巧以及视听语言特色等要素撰写一篇不少于30000字的作品研究报告。</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毕业设计。适用于融合新闻、数字营销传播和计算传播方向。融合新闻方向要求研究生结合具体项目，完成一篇以用户交互为主要特征，发布方与用户方形成完整新闻传播链条的新媒体创意互动作品设计，以及一篇不少于20000字的作品设计理念和实施方案报告；数字营销传播方向要求研究生根据某企业品牌传播或市场推广的需求，完成一篇不少于30000字的品牌传播或营销策划方案，方案应包括项目概述、项目背景、项目调研、项目策划、项目执行和项目评估等内容；计算传播方向要求研究生根据毕业设计的方向，结合具体项目，完成一篇不少于30000字的项目说明，说明应包括项目概述、项目背景、项目设计、项目过程文档、项目评估、用户手册等内容。</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（二）学位（毕业）论文预答辩与答辩要求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硕士生在正式论文答辩之前必须通过预答辩环节。学位（毕业）论文的预答辩、答辩等工作按《暨南大学学位授予工作实施细则》及本学位点相关规定执行。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 xml:space="preserve">十一、在学期间科研成果要求  </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按照新闻与传播专业学位类别教育指导委员会有关规定执行。  </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十二、毕业与授予学位标准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毕业和授予学位授予标准按照学校有关规定进行。</w:t>
      </w:r>
    </w:p>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十三、必读书目</w:t>
      </w:r>
    </w:p>
    <w:tbl>
      <w:tblPr>
        <w:tblStyle w:val="20"/>
        <w:tblW w:w="9600" w:type="dxa"/>
        <w:jc w:val="center"/>
        <w:tblLayout w:type="fixed"/>
        <w:tblCellMar>
          <w:top w:w="0" w:type="dxa"/>
          <w:left w:w="108" w:type="dxa"/>
          <w:bottom w:w="0" w:type="dxa"/>
          <w:right w:w="108" w:type="dxa"/>
        </w:tblCellMar>
      </w:tblPr>
      <w:tblGrid>
        <w:gridCol w:w="691"/>
        <w:gridCol w:w="2551"/>
        <w:gridCol w:w="2977"/>
        <w:gridCol w:w="2410"/>
        <w:gridCol w:w="971"/>
      </w:tblGrid>
      <w:tr>
        <w:tblPrEx>
          <w:tblCellMar>
            <w:top w:w="0" w:type="dxa"/>
            <w:left w:w="108" w:type="dxa"/>
            <w:bottom w:w="0" w:type="dxa"/>
            <w:right w:w="108" w:type="dxa"/>
          </w:tblCellMar>
        </w:tblPrEx>
        <w:trPr>
          <w:trHeight w:val="360" w:hRule="atLeast"/>
          <w:jc w:val="center"/>
        </w:trPr>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序号</w:t>
            </w: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书名</w:t>
            </w:r>
          </w:p>
        </w:tc>
        <w:tc>
          <w:tcPr>
            <w:tcW w:w="2977"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作者</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出版社</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b/>
                <w:bCs/>
                <w:kern w:val="0"/>
                <w:sz w:val="20"/>
                <w:szCs w:val="20"/>
              </w:rPr>
            </w:pPr>
            <w:r>
              <w:rPr>
                <w:rFonts w:hint="eastAsia" w:ascii="仿宋" w:hAnsi="仿宋" w:eastAsia="仿宋" w:cs="宋体"/>
                <w:b/>
                <w:bCs/>
                <w:kern w:val="0"/>
                <w:sz w:val="20"/>
                <w:szCs w:val="20"/>
              </w:rPr>
              <w:t>出版日期</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ascii="仿宋" w:hAnsi="仿宋" w:eastAsia="仿宋" w:cs="宋体"/>
                <w:color w:val="000000" w:themeColor="text1"/>
                <w:kern w:val="0"/>
                <w:sz w:val="20"/>
                <w:szCs w:val="20"/>
                <w14:textFill>
                  <w14:solidFill>
                    <w14:schemeClr w14:val="tx1"/>
                  </w14:solidFill>
                </w14:textFill>
              </w:rPr>
              <w:t>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中国新闻事业通史</w:t>
            </w:r>
          </w:p>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（第1-3卷）</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方汉奇</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1996年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新闻理论十讲</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陈力丹</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2008年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新闻观念论</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杨保军</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新闻学概论（第七版）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李良荣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新报刊史书写</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黄旦</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上海交通大学出版社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018</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大众传播理论：范式与流派</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刘海龙</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008</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记忆的纹理：媒介、创伤与南京大屠杀</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李红涛，黄顺铭</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中国人民大学出版社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017</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质的研究方法与社会科学研究</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陈向明</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教育科学出版社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006</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新闻事业经营管理</w:t>
            </w:r>
          </w:p>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（修订版）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吴文虎，林如鹏，支庭荣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南方报业战略</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范以锦</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南方日报出版社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2005年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媒介管理（第三版）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支庭荣</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2009年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融合新闻学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刘涛</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高等教育出版社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话语·叙事·伦理：当代广告与网络传播的审思与批判</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杨先顺</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暨南大学出版社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w:t>
            </w:r>
            <w:r>
              <w:rPr>
                <w:rFonts w:ascii="仿宋" w:hAnsi="仿宋" w:eastAsia="仿宋" w:cs="宋体"/>
                <w:color w:val="000000" w:themeColor="text1"/>
                <w:kern w:val="0"/>
                <w:sz w:val="20"/>
                <w:szCs w:val="20"/>
                <w14:textFill>
                  <w14:solidFill>
                    <w14:schemeClr w14:val="tx1"/>
                  </w14:solidFill>
                </w14:textFill>
              </w:rPr>
              <w:t>020</w:t>
            </w:r>
            <w:r>
              <w:rPr>
                <w:rFonts w:hint="eastAsia" w:ascii="仿宋" w:hAnsi="仿宋" w:eastAsia="仿宋" w:cs="宋体"/>
                <w:color w:val="000000" w:themeColor="text1"/>
                <w:kern w:val="0"/>
                <w:sz w:val="20"/>
                <w:szCs w:val="20"/>
                <w14:textFill>
                  <w14:solidFill>
                    <w14:schemeClr w14:val="tx1"/>
                  </w14:solidFill>
                </w14:textFill>
              </w:rPr>
              <w:t>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西方媒介文化理论研究</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曾一果</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学习出版社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2017年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网络新闻实务（第二版）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罗昕</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2020年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新闻社会学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（美）迈克尔·舒德森</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华夏出版社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2010年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社会研究方法（第十一版）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（美）艾尔</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巴比（</w:t>
            </w:r>
            <w:r>
              <w:rPr>
                <w:rFonts w:hint="eastAsia" w:ascii="仿宋" w:hAnsi="仿宋" w:eastAsia="仿宋" w:cs="宋体"/>
                <w:color w:val="000000" w:themeColor="text1"/>
                <w:kern w:val="0"/>
                <w:sz w:val="20"/>
                <w:szCs w:val="20"/>
                <w14:textFill>
                  <w14:solidFill>
                    <w14:schemeClr w14:val="tx1"/>
                  </w14:solidFill>
                </w14:textFill>
              </w:rPr>
              <w:t>Earl</w:t>
            </w:r>
            <w:r>
              <w:rPr>
                <w:rFonts w:hint="eastAsia" w:ascii="宋体" w:hAnsi="宋体" w:eastAsia="宋体" w:cs="宋体"/>
                <w:color w:val="000000" w:themeColor="text1"/>
                <w:kern w:val="0"/>
                <w:sz w:val="20"/>
                <w:szCs w:val="20"/>
                <w14:textFill>
                  <w14:solidFill>
                    <w14:schemeClr w14:val="tx1"/>
                  </w14:solidFill>
                </w14:textFill>
              </w:rPr>
              <w:t> </w:t>
            </w:r>
            <w:r>
              <w:rPr>
                <w:rFonts w:hint="eastAsia" w:ascii="仿宋" w:hAnsi="仿宋" w:eastAsia="仿宋" w:cs="仿宋"/>
                <w:color w:val="000000" w:themeColor="text1"/>
                <w:kern w:val="0"/>
                <w:sz w:val="20"/>
                <w:szCs w:val="20"/>
                <w14:textFill>
                  <w14:solidFill>
                    <w14:schemeClr w14:val="tx1"/>
                  </w14:solidFill>
                </w14:textFill>
              </w:rPr>
              <w:t>Babbie</w:t>
            </w:r>
            <w:r>
              <w:rPr>
                <w:rFonts w:hint="eastAsia" w:ascii="仿宋" w:hAnsi="仿宋" w:eastAsia="仿宋" w:cs="宋体"/>
                <w:color w:val="000000" w:themeColor="text1"/>
                <w:kern w:val="0"/>
                <w:sz w:val="20"/>
                <w:szCs w:val="20"/>
                <w14:textFill>
                  <w14:solidFill>
                    <w14:schemeClr w14:val="tx1"/>
                  </w14:solidFill>
                </w14:textFill>
              </w:rPr>
              <w:t>）著，邱泽奇译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"http://search.dangdang.com/?key3=%BB%AA%CF%C4%B3%F6%B0%E6%C9%E7&amp;medium=01&amp;category_path=01.00.00.00.00.00" \o "http://search.dangdang.com/?key3=%BB%AA%CF%C4%B3%F6%B0%E6%C9%E7&amp;medium=01&amp;category_path=01.00.00.00.00.00"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华夏出版社</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2018年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普通媒介学教程</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（法） 雷吉斯·德布雷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19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媒介融合：网络传播、大众传播和人际传播的三重维度</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（丹麦）延森</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社会学的想象力</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"https://book.douban.com/search/C.%E8%B5%96%E7%89%B9%C2%B7%E7%B1%B3%E5%B0%94%E6%96%AF" \o "https://book.douban.com/search/C.%E8%B5%96%E7%89%B9%C2%B7%E7%B1%B3%E5%B0%94%E6%96%AF"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（美）赖特·米尔斯</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生活·读书·新知三联书店</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21</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对空言说：传播的观念史</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"http://search.dangdang.com/?key2=%B1%CB%B5%C3%CB%B9&amp;medium=01&amp;category_path=01.00.00.00.00.00" \o "http://search.dangdang.com/?key2=%B1%CB%B5%C3%CB%B9&amp;medium=01&amp;category_path=01.00.00.00.00.00"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（美）彼得斯</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"http://search.dangdang.com/?key3=%C9%CF%BA%A3%D2%EB%CE%C4%B3%F6%B0%E6%C9%E7&amp;medium=01&amp;category_path=01.00.00.00.00.00" \o "http://search.dangdang.com/?key3=%C9%CF%BA%A3%D2%EB%CE%C4%B3%F6%B0%E6%C9%E7&amp;medium=01&amp;category_path=01.00.00.00.00.00"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上海译文出版社</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2017年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22</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网络社会的崛起</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（美）曼纽尔</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卡斯特著，夏铸九、</w:t>
            </w:r>
            <w:r>
              <w:rPr>
                <w:rFonts w:hint="eastAsia" w:ascii="仿宋" w:hAnsi="仿宋" w:eastAsia="仿宋" w:cs="宋体"/>
                <w:color w:val="000000" w:themeColor="text1"/>
                <w:kern w:val="0"/>
                <w:sz w:val="20"/>
                <w:szCs w:val="20"/>
                <w14:textFill>
                  <w14:solidFill>
                    <w14:schemeClr w14:val="tx1"/>
                  </w14:solidFill>
                </w14:textFill>
              </w:rPr>
              <w:t xml:space="preserve"> 王志弘译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社会科学文献出版社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2001年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23</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新媒介：关键概念</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（英）尼古拉斯·盖恩、戴维·比尔著，刘君、周竞男译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复旦大学出版社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2015年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24</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文化理论与大众文化导论（第七版）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（英）约翰·斯道雷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北京大学出版社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2019年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25</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国际传播理论前沿</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"https://www.amazon.cn/s/ref=dp_byline_sr_book_1?ie=UTF8&amp;field-author=%E8%BF%88%E8%B5%AB%E8%BF%AA%C2%B7%E8%90%A8%E9%A9%AC%E8%BF%AA&amp;search-alias=books" \o "https://www.amazon.cn/s/ref=dp_byline_sr_book_1?ie=UTF8&amp;field-author=%E8%BF%88%E8%B5%AB%E8%BF%AA%C2%B7%E8%90%A8%E9%A9%AC%E8%BF%AA&amp;search-alias=books"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（美）迈赫迪·萨马迪</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26</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fldChar w:fldCharType="begin"/>
            </w:r>
            <w:r>
              <w:instrText xml:space="preserve"> HYPERLINK "https://www.amazon.cn/dp/B01CC4HL1C/ref=sr_1_2?__mk_zh_CN=%E4%BA%9A%E9%A9%AC%E9%80%8A%E7%BD%91%E7%AB%99&amp;keywords=%E5%9B%BD%E9%99%85%E6%96%B0%E9%97%BB&amp;qid=1558184100&amp;s=books&amp;sr=1-2" \o "https://www.amazon.cn/dp/B01CC4HL1C/ref=sr_1_2?__mk_zh_CN=%E4%BA%9A%E9%A9%AC%E9%80%8A%E7%BD%91%E7%AB%99&amp;keywords=%E5%9B%BD%E9%99%85%E6%96%B0%E9%97%BB&amp;qid=1558184100&amp;s=books&amp;sr=1-2" </w:instrText>
            </w:r>
            <w:r>
              <w:fldChar w:fldCharType="separate"/>
            </w:r>
            <w:r>
              <w:rPr>
                <w:rFonts w:hint="eastAsia" w:ascii="仿宋" w:hAnsi="仿宋" w:eastAsia="仿宋" w:cs="宋体"/>
                <w:color w:val="000000" w:themeColor="text1"/>
                <w:kern w:val="0"/>
                <w:sz w:val="20"/>
                <w:szCs w:val="20"/>
                <w14:textFill>
                  <w14:solidFill>
                    <w14:schemeClr w14:val="tx1"/>
                  </w14:solidFill>
                </w14:textFill>
              </w:rPr>
              <w:t>理解国际新闻(批判性导论)</w:t>
            </w:r>
            <w:r>
              <w:rPr>
                <w:rFonts w:hint="eastAsia" w:ascii="仿宋" w:hAnsi="仿宋" w:eastAsia="仿宋" w:cs="宋体"/>
                <w:color w:val="000000" w:themeColor="text1"/>
                <w:kern w:val="0"/>
                <w:sz w:val="20"/>
                <w:szCs w:val="20"/>
                <w14:textFill>
                  <w14:solidFill>
                    <w14:schemeClr w14:val="tx1"/>
                  </w14:solidFill>
                </w14:textFill>
              </w:rPr>
              <w:fldChar w:fldCharType="end"/>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（荷）雅普·梵·吉内肯</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中国传媒大学出版社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2016年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27</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传播统计法：定量研究操作指南（第五版）</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（美）威廉姆斯、蒙日著，苏林森译</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清华大学出版社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2011年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28</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网络素养：数字公民、集体智慧和联网的力量</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（美）霍华德</w:t>
            </w:r>
            <w:r>
              <w:rPr>
                <w:rFonts w:hint="eastAsia" w:ascii="宋体" w:hAnsi="宋体" w:eastAsia="宋体" w:cs="宋体"/>
                <w:color w:val="000000" w:themeColor="text1"/>
                <w:kern w:val="0"/>
                <w:sz w:val="20"/>
                <w:szCs w:val="20"/>
                <w14:textFill>
                  <w14:solidFill>
                    <w14:schemeClr w14:val="tx1"/>
                  </w14:solidFill>
                </w14:textFill>
              </w:rPr>
              <w:t>•</w:t>
            </w:r>
            <w:r>
              <w:rPr>
                <w:rFonts w:hint="eastAsia" w:ascii="仿宋" w:hAnsi="仿宋" w:eastAsia="仿宋" w:cs="仿宋"/>
                <w:color w:val="000000" w:themeColor="text1"/>
                <w:kern w:val="0"/>
                <w:sz w:val="20"/>
                <w:szCs w:val="20"/>
                <w14:textFill>
                  <w14:solidFill>
                    <w14:schemeClr w14:val="tx1"/>
                  </w14:solidFill>
                </w14:textFill>
              </w:rPr>
              <w:t>莱茵戈德</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电子工业出版社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2013年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29</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大数据营销：如何让营销更具吸引力</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（美）丽莎</w:t>
            </w:r>
            <w:r>
              <w:rPr>
                <w:rFonts w:hint="eastAsia" w:ascii="MS Mincho" w:hAnsi="MS Mincho" w:eastAsia="MS Mincho" w:cs="MS Mincho"/>
                <w:color w:val="000000" w:themeColor="text1"/>
                <w:kern w:val="0"/>
                <w:sz w:val="20"/>
                <w:szCs w:val="20"/>
                <w14:textFill>
                  <w14:solidFill>
                    <w14:schemeClr w14:val="tx1"/>
                  </w14:solidFill>
                </w14:textFill>
              </w:rPr>
              <w:t>・</w:t>
            </w:r>
            <w:r>
              <w:rPr>
                <w:rFonts w:hint="eastAsia" w:ascii="仿宋" w:hAnsi="仿宋" w:eastAsia="仿宋" w:cs="宋体"/>
                <w:color w:val="000000" w:themeColor="text1"/>
                <w:kern w:val="0"/>
                <w:sz w:val="20"/>
                <w:szCs w:val="20"/>
                <w14:textFill>
                  <w14:solidFill>
                    <w14:schemeClr w14:val="tx1"/>
                  </w14:solidFill>
                </w14:textFill>
              </w:rPr>
              <w:t>亚瑟</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中信出版社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2014年</w:t>
            </w:r>
          </w:p>
        </w:tc>
      </w:tr>
      <w:tr>
        <w:tblPrEx>
          <w:tblCellMar>
            <w:top w:w="0" w:type="dxa"/>
            <w:left w:w="108" w:type="dxa"/>
            <w:bottom w:w="0" w:type="dxa"/>
            <w:right w:w="108" w:type="dxa"/>
          </w:tblCellMar>
        </w:tblPrEx>
        <w:trPr>
          <w:trHeight w:val="360" w:hRule="atLeast"/>
          <w:jc w:val="center"/>
        </w:trPr>
        <w:tc>
          <w:tcPr>
            <w:tcW w:w="691" w:type="dxa"/>
            <w:tcBorders>
              <w:top w:val="nil"/>
              <w:left w:val="single" w:color="auto" w:sz="4" w:space="0"/>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30</w:t>
            </w:r>
          </w:p>
        </w:tc>
        <w:tc>
          <w:tcPr>
            <w:tcW w:w="255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广告与营销策划</w:t>
            </w:r>
          </w:p>
        </w:tc>
        <w:tc>
          <w:tcPr>
            <w:tcW w:w="2977"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（美）阿伦斯</w:t>
            </w:r>
          </w:p>
        </w:tc>
        <w:tc>
          <w:tcPr>
            <w:tcW w:w="2410"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人民邮电出版社</w:t>
            </w:r>
          </w:p>
        </w:tc>
        <w:tc>
          <w:tcPr>
            <w:tcW w:w="971" w:type="dxa"/>
            <w:tcBorders>
              <w:top w:val="nil"/>
              <w:left w:val="nil"/>
              <w:bottom w:val="single" w:color="auto" w:sz="4" w:space="0"/>
              <w:right w:val="single" w:color="auto" w:sz="4" w:space="0"/>
            </w:tcBorders>
            <w:shd w:val="clear" w:color="auto" w:fill="auto"/>
            <w:vAlign w:val="center"/>
          </w:tcPr>
          <w:p>
            <w:pPr>
              <w:widowControl/>
              <w:spacing w:line="280" w:lineRule="exact"/>
              <w:ind w:firstLine="0" w:firstLineChars="0"/>
              <w:jc w:val="center"/>
              <w:rPr>
                <w:rFonts w:ascii="仿宋" w:hAnsi="仿宋" w:eastAsia="仿宋" w:cs="宋体"/>
                <w:color w:val="000000" w:themeColor="text1"/>
                <w:kern w:val="0"/>
                <w:sz w:val="20"/>
                <w:szCs w:val="20"/>
                <w14:textFill>
                  <w14:solidFill>
                    <w14:schemeClr w14:val="tx1"/>
                  </w14:solidFill>
                </w14:textFill>
              </w:rPr>
            </w:pPr>
            <w:r>
              <w:rPr>
                <w:rFonts w:hint="eastAsia" w:ascii="仿宋" w:hAnsi="仿宋" w:eastAsia="仿宋" w:cs="宋体"/>
                <w:color w:val="000000" w:themeColor="text1"/>
                <w:kern w:val="0"/>
                <w:sz w:val="20"/>
                <w:szCs w:val="20"/>
                <w14:textFill>
                  <w14:solidFill>
                    <w14:schemeClr w14:val="tx1"/>
                  </w14:solidFill>
                </w14:textFill>
              </w:rPr>
              <w:t>2013年</w:t>
            </w:r>
          </w:p>
        </w:tc>
      </w:tr>
    </w:tbl>
    <w:p>
      <w:pPr>
        <w:spacing w:line="440" w:lineRule="exact"/>
        <w:ind w:firstLine="562"/>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十四、其他要求</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（一）硕士生在第1-5学期，应参加不少于15次学科前沿讲座或学院举办的其他学术会议、大型活动等，不计学分。</w:t>
      </w:r>
    </w:p>
    <w:p>
      <w:pPr>
        <w:spacing w:line="440" w:lineRule="exact"/>
        <w:ind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（二）本培养方案适用于2023级及以后新闻与传播硕士专业学位研究生。</w:t>
      </w:r>
    </w:p>
    <w:p>
      <w:pPr>
        <w:spacing w:line="440" w:lineRule="exact"/>
        <w:ind w:firstLine="198" w:firstLineChars="62"/>
        <w:jc w:val="left"/>
        <w:rPr>
          <w:rFonts w:hint="eastAsia"/>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98" w:firstLineChars="62"/>
        <w:jc w:val="left"/>
        <w:rPr>
          <w:color w:val="000000" w:themeColor="text1"/>
          <w:szCs w:val="32"/>
          <w14:textFill>
            <w14:solidFill>
              <w14:schemeClr w14:val="tx1"/>
            </w14:solidFill>
          </w14:textFill>
        </w:rPr>
      </w:pPr>
    </w:p>
    <w:p>
      <w:pPr>
        <w:spacing w:line="440" w:lineRule="exact"/>
        <w:ind w:firstLine="173" w:firstLineChars="62"/>
        <w:jc w:val="left"/>
        <w:rPr>
          <w:rFonts w:ascii="仿宋" w:hAnsi="仿宋" w:eastAsia="仿宋"/>
          <w:color w:val="000000" w:themeColor="text1"/>
          <w:sz w:val="28"/>
          <w:szCs w:val="28"/>
          <w14:textFill>
            <w14:solidFill>
              <w14:schemeClr w14:val="tx1"/>
            </w14:solidFill>
          </w14:textFill>
        </w:rPr>
      </w:pP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701" w:right="1418" w:bottom="1985" w:left="1418" w:header="851" w:footer="1304"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3966233"/>
    </w:sdtPr>
    <w:sdtContent>
      <w:p>
        <w:pPr>
          <w:pStyle w:val="15"/>
          <w:ind w:firstLine="360"/>
          <w:jc w:val="center"/>
        </w:pPr>
        <w:r>
          <w:fldChar w:fldCharType="begin"/>
        </w:r>
        <w:r>
          <w:instrText xml:space="preserve">PAGE   \* MERGEFORMAT</w:instrText>
        </w:r>
        <w:r>
          <w:fldChar w:fldCharType="separate"/>
        </w:r>
        <w:r>
          <w:rPr>
            <w:lang w:val="zh-CN"/>
          </w:rPr>
          <w:t>11</w:t>
        </w:r>
        <w:r>
          <w:fldChar w:fldCharType="end"/>
        </w:r>
      </w:p>
    </w:sdtContent>
  </w:sdt>
  <w:p>
    <w:pPr>
      <w:pStyle w:val="15"/>
      <w:ind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294770"/>
    </w:sdtPr>
    <w:sdtContent>
      <w:p>
        <w:pPr>
          <w:pStyle w:val="15"/>
          <w:ind w:firstLine="360"/>
          <w:jc w:val="center"/>
        </w:pPr>
        <w:r>
          <w:fldChar w:fldCharType="begin"/>
        </w:r>
        <w:r>
          <w:instrText xml:space="preserve">PAGE   \* MERGEFORMAT</w:instrText>
        </w:r>
        <w:r>
          <w:fldChar w:fldCharType="separate"/>
        </w:r>
        <w:r>
          <w:rPr>
            <w:lang w:val="zh-CN"/>
          </w:rPr>
          <w:t>10</w:t>
        </w:r>
        <w:r>
          <w:fldChar w:fldCharType="end"/>
        </w:r>
      </w:p>
    </w:sdtContent>
  </w:sdt>
  <w:p>
    <w:pPr>
      <w:pStyle w:val="15"/>
      <w:ind w:firstLine="560"/>
      <w:rP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egacy w:legacy="1" w:legacySpace="144" w:legacyIndent="0"/>
      <w:lvlJc w:val="left"/>
    </w:lvl>
    <w:lvl w:ilvl="1" w:tentative="0">
      <w:start w:val="1"/>
      <w:numFmt w:val="decimal"/>
      <w:pStyle w:val="3"/>
      <w:lvlText w:val="%1.%2"/>
      <w:legacy w:legacy="1" w:legacySpace="144" w:legacyIndent="0"/>
      <w:lvlJc w:val="left"/>
    </w:lvl>
    <w:lvl w:ilvl="2" w:tentative="0">
      <w:start w:val="1"/>
      <w:numFmt w:val="decimal"/>
      <w:pStyle w:val="4"/>
      <w:lvlText w:val="%1.%2.%3"/>
      <w:legacy w:legacy="1" w:legacySpace="144" w:legacyIndent="0"/>
      <w:lvlJc w:val="left"/>
    </w:lvl>
    <w:lvl w:ilvl="3" w:tentative="0">
      <w:start w:val="1"/>
      <w:numFmt w:val="decimal"/>
      <w:pStyle w:val="5"/>
      <w:lvlText w:val="%1.%2.%3.%4"/>
      <w:legacy w:legacy="1" w:legacySpace="144" w:legacyIndent="0"/>
      <w:lvlJc w:val="left"/>
    </w:lvl>
    <w:lvl w:ilvl="4" w:tentative="0">
      <w:start w:val="1"/>
      <w:numFmt w:val="decimal"/>
      <w:pStyle w:val="6"/>
      <w:lvlText w:val="%1.%2.%3.%4.%5"/>
      <w:legacy w:legacy="1" w:legacySpace="144" w:legacyIndent="0"/>
      <w:lvlJc w:val="left"/>
    </w:lvl>
    <w:lvl w:ilvl="5" w:tentative="0">
      <w:start w:val="1"/>
      <w:numFmt w:val="decimal"/>
      <w:pStyle w:val="7"/>
      <w:lvlText w:val="%1.%2.%3.%4.%5.%6"/>
      <w:legacy w:legacy="1" w:legacySpace="144" w:legacyIndent="0"/>
      <w:lvlJc w:val="left"/>
    </w:lvl>
    <w:lvl w:ilvl="6" w:tentative="0">
      <w:start w:val="1"/>
      <w:numFmt w:val="decimal"/>
      <w:pStyle w:val="8"/>
      <w:lvlText w:val="%1.%2.%3.%4.%5.%6.%7"/>
      <w:legacy w:legacy="1" w:legacySpace="144" w:legacyIndent="0"/>
      <w:lvlJc w:val="left"/>
    </w:lvl>
    <w:lvl w:ilvl="7" w:tentative="0">
      <w:start w:val="1"/>
      <w:numFmt w:val="decimal"/>
      <w:pStyle w:val="9"/>
      <w:lvlText w:val="%1.%2.%3.%4.%5.%6.%7.%8"/>
      <w:legacy w:legacy="1" w:legacySpace="144" w:legacyIndent="0"/>
      <w:lvlJc w:val="left"/>
    </w:lvl>
    <w:lvl w:ilvl="8" w:tentative="0">
      <w:start w:val="1"/>
      <w:numFmt w:val="decimal"/>
      <w:pStyle w:val="10"/>
      <w:lvlText w:val="%1.%2.%3.%4.%5.%6.%7.%8.%9"/>
      <w:legacy w:legacy="1" w:legacySpace="144" w:legacyIndent="0"/>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2Y5MWM3Mzg5YWRlNzQ2Y2M3Yjc5MTM0OGFjNzcifQ=="/>
  </w:docVars>
  <w:rsids>
    <w:rsidRoot w:val="00C75C59"/>
    <w:rsid w:val="0000078D"/>
    <w:rsid w:val="000033CB"/>
    <w:rsid w:val="00003B86"/>
    <w:rsid w:val="00003EA3"/>
    <w:rsid w:val="0000571A"/>
    <w:rsid w:val="00006735"/>
    <w:rsid w:val="00011890"/>
    <w:rsid w:val="000125B2"/>
    <w:rsid w:val="00020D18"/>
    <w:rsid w:val="000300B9"/>
    <w:rsid w:val="00030645"/>
    <w:rsid w:val="00031B16"/>
    <w:rsid w:val="000323D5"/>
    <w:rsid w:val="00041A94"/>
    <w:rsid w:val="00047803"/>
    <w:rsid w:val="00056E29"/>
    <w:rsid w:val="000576B4"/>
    <w:rsid w:val="00062E3C"/>
    <w:rsid w:val="0006592A"/>
    <w:rsid w:val="00072513"/>
    <w:rsid w:val="00072A9B"/>
    <w:rsid w:val="0007696B"/>
    <w:rsid w:val="00085A0C"/>
    <w:rsid w:val="00094696"/>
    <w:rsid w:val="000A4C68"/>
    <w:rsid w:val="000B127E"/>
    <w:rsid w:val="000B2C02"/>
    <w:rsid w:val="000B4C83"/>
    <w:rsid w:val="000B64F5"/>
    <w:rsid w:val="000B7D84"/>
    <w:rsid w:val="000C080D"/>
    <w:rsid w:val="000C719F"/>
    <w:rsid w:val="000D2E0F"/>
    <w:rsid w:val="000E74A9"/>
    <w:rsid w:val="000F49F9"/>
    <w:rsid w:val="00102BB8"/>
    <w:rsid w:val="00105D87"/>
    <w:rsid w:val="00107363"/>
    <w:rsid w:val="00112395"/>
    <w:rsid w:val="0011347C"/>
    <w:rsid w:val="00123610"/>
    <w:rsid w:val="0012733F"/>
    <w:rsid w:val="0013137D"/>
    <w:rsid w:val="00137D46"/>
    <w:rsid w:val="0014708D"/>
    <w:rsid w:val="00147ADA"/>
    <w:rsid w:val="00150B17"/>
    <w:rsid w:val="001520F5"/>
    <w:rsid w:val="00152CA7"/>
    <w:rsid w:val="0015347B"/>
    <w:rsid w:val="00155E21"/>
    <w:rsid w:val="001620E2"/>
    <w:rsid w:val="00170CD2"/>
    <w:rsid w:val="00175031"/>
    <w:rsid w:val="001848A4"/>
    <w:rsid w:val="00191182"/>
    <w:rsid w:val="001A70F9"/>
    <w:rsid w:val="001B3F3F"/>
    <w:rsid w:val="001B738F"/>
    <w:rsid w:val="001B73C7"/>
    <w:rsid w:val="001C11E9"/>
    <w:rsid w:val="001C3DB2"/>
    <w:rsid w:val="001C4831"/>
    <w:rsid w:val="001C5674"/>
    <w:rsid w:val="001D054D"/>
    <w:rsid w:val="001D2E4B"/>
    <w:rsid w:val="001D4025"/>
    <w:rsid w:val="001D6C87"/>
    <w:rsid w:val="001E1223"/>
    <w:rsid w:val="001E42EC"/>
    <w:rsid w:val="001E4BDA"/>
    <w:rsid w:val="001E7845"/>
    <w:rsid w:val="00200FC0"/>
    <w:rsid w:val="00203652"/>
    <w:rsid w:val="002111EC"/>
    <w:rsid w:val="0021350C"/>
    <w:rsid w:val="002148BE"/>
    <w:rsid w:val="0021496D"/>
    <w:rsid w:val="00216D5D"/>
    <w:rsid w:val="00223531"/>
    <w:rsid w:val="0023190D"/>
    <w:rsid w:val="00231F73"/>
    <w:rsid w:val="002359D0"/>
    <w:rsid w:val="00243FC7"/>
    <w:rsid w:val="002447DD"/>
    <w:rsid w:val="00247174"/>
    <w:rsid w:val="0024769D"/>
    <w:rsid w:val="00252D11"/>
    <w:rsid w:val="00253EFA"/>
    <w:rsid w:val="002546F3"/>
    <w:rsid w:val="0025582F"/>
    <w:rsid w:val="00256390"/>
    <w:rsid w:val="00260E1A"/>
    <w:rsid w:val="00261E73"/>
    <w:rsid w:val="00267704"/>
    <w:rsid w:val="00271CA4"/>
    <w:rsid w:val="0027323A"/>
    <w:rsid w:val="002747DB"/>
    <w:rsid w:val="002758D1"/>
    <w:rsid w:val="002760C2"/>
    <w:rsid w:val="00281A9C"/>
    <w:rsid w:val="0028399C"/>
    <w:rsid w:val="002840A6"/>
    <w:rsid w:val="002911B6"/>
    <w:rsid w:val="002960DC"/>
    <w:rsid w:val="002A279A"/>
    <w:rsid w:val="002A4734"/>
    <w:rsid w:val="002A6C9F"/>
    <w:rsid w:val="002B052F"/>
    <w:rsid w:val="002B41E1"/>
    <w:rsid w:val="002B48B3"/>
    <w:rsid w:val="002C60CA"/>
    <w:rsid w:val="002D0257"/>
    <w:rsid w:val="002D02EE"/>
    <w:rsid w:val="002E025C"/>
    <w:rsid w:val="002E1AA4"/>
    <w:rsid w:val="002E2D91"/>
    <w:rsid w:val="002E3D50"/>
    <w:rsid w:val="002E51E6"/>
    <w:rsid w:val="002E5CCB"/>
    <w:rsid w:val="002F228F"/>
    <w:rsid w:val="002F40D5"/>
    <w:rsid w:val="002F7283"/>
    <w:rsid w:val="00301776"/>
    <w:rsid w:val="00303D9B"/>
    <w:rsid w:val="003067B5"/>
    <w:rsid w:val="00312E92"/>
    <w:rsid w:val="003173EE"/>
    <w:rsid w:val="003333E8"/>
    <w:rsid w:val="00336DD8"/>
    <w:rsid w:val="0034331C"/>
    <w:rsid w:val="00350F03"/>
    <w:rsid w:val="00354557"/>
    <w:rsid w:val="0035472E"/>
    <w:rsid w:val="00357DE5"/>
    <w:rsid w:val="0036408C"/>
    <w:rsid w:val="00364625"/>
    <w:rsid w:val="00366427"/>
    <w:rsid w:val="003700D5"/>
    <w:rsid w:val="00370672"/>
    <w:rsid w:val="003716F3"/>
    <w:rsid w:val="003803EF"/>
    <w:rsid w:val="00385763"/>
    <w:rsid w:val="00386936"/>
    <w:rsid w:val="00391111"/>
    <w:rsid w:val="0039129A"/>
    <w:rsid w:val="003A28C2"/>
    <w:rsid w:val="003B35EB"/>
    <w:rsid w:val="003B395E"/>
    <w:rsid w:val="003B4A02"/>
    <w:rsid w:val="003B6299"/>
    <w:rsid w:val="003B6B6F"/>
    <w:rsid w:val="003B792F"/>
    <w:rsid w:val="003C0548"/>
    <w:rsid w:val="003C1092"/>
    <w:rsid w:val="003D0BAD"/>
    <w:rsid w:val="003D73EF"/>
    <w:rsid w:val="003E0B49"/>
    <w:rsid w:val="003E45E1"/>
    <w:rsid w:val="003E7B07"/>
    <w:rsid w:val="003E7E41"/>
    <w:rsid w:val="003F1C9A"/>
    <w:rsid w:val="003F1FD3"/>
    <w:rsid w:val="003F334F"/>
    <w:rsid w:val="003F7EED"/>
    <w:rsid w:val="00406811"/>
    <w:rsid w:val="004161D1"/>
    <w:rsid w:val="0042038B"/>
    <w:rsid w:val="00421D43"/>
    <w:rsid w:val="00422E3D"/>
    <w:rsid w:val="004275C0"/>
    <w:rsid w:val="004501B0"/>
    <w:rsid w:val="00456B21"/>
    <w:rsid w:val="004571F8"/>
    <w:rsid w:val="0047219A"/>
    <w:rsid w:val="00481FFA"/>
    <w:rsid w:val="0048419B"/>
    <w:rsid w:val="0048426C"/>
    <w:rsid w:val="00485248"/>
    <w:rsid w:val="00486CCB"/>
    <w:rsid w:val="004902B3"/>
    <w:rsid w:val="00492288"/>
    <w:rsid w:val="004A08CF"/>
    <w:rsid w:val="004A3212"/>
    <w:rsid w:val="004A6465"/>
    <w:rsid w:val="004B1DA7"/>
    <w:rsid w:val="004C03C7"/>
    <w:rsid w:val="004C095F"/>
    <w:rsid w:val="004D07CC"/>
    <w:rsid w:val="004D43DC"/>
    <w:rsid w:val="004D636F"/>
    <w:rsid w:val="004D6634"/>
    <w:rsid w:val="004F0C88"/>
    <w:rsid w:val="004F2370"/>
    <w:rsid w:val="004F5123"/>
    <w:rsid w:val="0050089A"/>
    <w:rsid w:val="00507D43"/>
    <w:rsid w:val="00512A67"/>
    <w:rsid w:val="00517649"/>
    <w:rsid w:val="00525C8E"/>
    <w:rsid w:val="00536FDE"/>
    <w:rsid w:val="00544503"/>
    <w:rsid w:val="00545049"/>
    <w:rsid w:val="005506DB"/>
    <w:rsid w:val="005530F2"/>
    <w:rsid w:val="005541EF"/>
    <w:rsid w:val="00554957"/>
    <w:rsid w:val="005642D9"/>
    <w:rsid w:val="00565B1D"/>
    <w:rsid w:val="0057076D"/>
    <w:rsid w:val="00574B98"/>
    <w:rsid w:val="005804DD"/>
    <w:rsid w:val="00582652"/>
    <w:rsid w:val="005865E2"/>
    <w:rsid w:val="005A14F0"/>
    <w:rsid w:val="005A5496"/>
    <w:rsid w:val="005B078C"/>
    <w:rsid w:val="005B1B18"/>
    <w:rsid w:val="005C336E"/>
    <w:rsid w:val="005C6DB7"/>
    <w:rsid w:val="005C6E89"/>
    <w:rsid w:val="005D31AD"/>
    <w:rsid w:val="005D5E80"/>
    <w:rsid w:val="005D6D1A"/>
    <w:rsid w:val="005F1C8A"/>
    <w:rsid w:val="005F3FAD"/>
    <w:rsid w:val="005F55A1"/>
    <w:rsid w:val="005F5FE3"/>
    <w:rsid w:val="005F67F8"/>
    <w:rsid w:val="00602BA3"/>
    <w:rsid w:val="00602D6C"/>
    <w:rsid w:val="00604797"/>
    <w:rsid w:val="006056DF"/>
    <w:rsid w:val="00606280"/>
    <w:rsid w:val="006065B4"/>
    <w:rsid w:val="00607046"/>
    <w:rsid w:val="00610F65"/>
    <w:rsid w:val="006133B8"/>
    <w:rsid w:val="00613CCA"/>
    <w:rsid w:val="00615DCD"/>
    <w:rsid w:val="00616E36"/>
    <w:rsid w:val="0061770C"/>
    <w:rsid w:val="006233A2"/>
    <w:rsid w:val="006258BD"/>
    <w:rsid w:val="006354F9"/>
    <w:rsid w:val="00645CA1"/>
    <w:rsid w:val="00646AD5"/>
    <w:rsid w:val="00650380"/>
    <w:rsid w:val="00650466"/>
    <w:rsid w:val="00653873"/>
    <w:rsid w:val="00654A99"/>
    <w:rsid w:val="0065642F"/>
    <w:rsid w:val="00670094"/>
    <w:rsid w:val="006771B0"/>
    <w:rsid w:val="00690036"/>
    <w:rsid w:val="00697B80"/>
    <w:rsid w:val="006A2471"/>
    <w:rsid w:val="006A5D0E"/>
    <w:rsid w:val="006B1727"/>
    <w:rsid w:val="006B2E20"/>
    <w:rsid w:val="006D1C74"/>
    <w:rsid w:val="006E6EB5"/>
    <w:rsid w:val="006F0ECA"/>
    <w:rsid w:val="006F1DED"/>
    <w:rsid w:val="006F389B"/>
    <w:rsid w:val="00700963"/>
    <w:rsid w:val="007040D9"/>
    <w:rsid w:val="0070549A"/>
    <w:rsid w:val="00706D64"/>
    <w:rsid w:val="007104D4"/>
    <w:rsid w:val="00710702"/>
    <w:rsid w:val="007110D8"/>
    <w:rsid w:val="00714EC2"/>
    <w:rsid w:val="00715B3D"/>
    <w:rsid w:val="00717B14"/>
    <w:rsid w:val="00720AAB"/>
    <w:rsid w:val="00722666"/>
    <w:rsid w:val="00723F03"/>
    <w:rsid w:val="00726E3C"/>
    <w:rsid w:val="0072782E"/>
    <w:rsid w:val="00736A73"/>
    <w:rsid w:val="007441E7"/>
    <w:rsid w:val="00746314"/>
    <w:rsid w:val="00751389"/>
    <w:rsid w:val="00751D8B"/>
    <w:rsid w:val="00754BED"/>
    <w:rsid w:val="00761AD8"/>
    <w:rsid w:val="00761CB8"/>
    <w:rsid w:val="00762954"/>
    <w:rsid w:val="0076558B"/>
    <w:rsid w:val="00766A78"/>
    <w:rsid w:val="00767405"/>
    <w:rsid w:val="007701B4"/>
    <w:rsid w:val="007705C7"/>
    <w:rsid w:val="00771E75"/>
    <w:rsid w:val="00780213"/>
    <w:rsid w:val="007917F8"/>
    <w:rsid w:val="007A2D89"/>
    <w:rsid w:val="007A52D8"/>
    <w:rsid w:val="007B2AC0"/>
    <w:rsid w:val="007B5E55"/>
    <w:rsid w:val="007C2B6F"/>
    <w:rsid w:val="007C47EF"/>
    <w:rsid w:val="007C541A"/>
    <w:rsid w:val="007D0633"/>
    <w:rsid w:val="007D25F4"/>
    <w:rsid w:val="00807BB9"/>
    <w:rsid w:val="00813B4C"/>
    <w:rsid w:val="00820D8E"/>
    <w:rsid w:val="00821A5E"/>
    <w:rsid w:val="008220E0"/>
    <w:rsid w:val="00825176"/>
    <w:rsid w:val="008300D7"/>
    <w:rsid w:val="00832238"/>
    <w:rsid w:val="00846070"/>
    <w:rsid w:val="0085449D"/>
    <w:rsid w:val="008547FC"/>
    <w:rsid w:val="0086382E"/>
    <w:rsid w:val="008644CD"/>
    <w:rsid w:val="008674AB"/>
    <w:rsid w:val="00872BCE"/>
    <w:rsid w:val="0088015B"/>
    <w:rsid w:val="00881C53"/>
    <w:rsid w:val="00882CB9"/>
    <w:rsid w:val="008A1335"/>
    <w:rsid w:val="008A2EFC"/>
    <w:rsid w:val="008A457D"/>
    <w:rsid w:val="008C0F5C"/>
    <w:rsid w:val="008D2ACB"/>
    <w:rsid w:val="008E69D6"/>
    <w:rsid w:val="008E77B6"/>
    <w:rsid w:val="008F2902"/>
    <w:rsid w:val="008F4381"/>
    <w:rsid w:val="008F7CEA"/>
    <w:rsid w:val="00900159"/>
    <w:rsid w:val="009004F0"/>
    <w:rsid w:val="00902247"/>
    <w:rsid w:val="00903E9E"/>
    <w:rsid w:val="00907233"/>
    <w:rsid w:val="0091178D"/>
    <w:rsid w:val="00913EF8"/>
    <w:rsid w:val="00914240"/>
    <w:rsid w:val="00917213"/>
    <w:rsid w:val="00920C8B"/>
    <w:rsid w:val="00921717"/>
    <w:rsid w:val="009226DC"/>
    <w:rsid w:val="0092349D"/>
    <w:rsid w:val="00924C5F"/>
    <w:rsid w:val="009277CB"/>
    <w:rsid w:val="009333B2"/>
    <w:rsid w:val="00934FC9"/>
    <w:rsid w:val="00935818"/>
    <w:rsid w:val="00944049"/>
    <w:rsid w:val="009461EB"/>
    <w:rsid w:val="00957111"/>
    <w:rsid w:val="0096135E"/>
    <w:rsid w:val="009659A7"/>
    <w:rsid w:val="00967BE5"/>
    <w:rsid w:val="00971086"/>
    <w:rsid w:val="00973A57"/>
    <w:rsid w:val="00973B64"/>
    <w:rsid w:val="00976C6E"/>
    <w:rsid w:val="00981808"/>
    <w:rsid w:val="009818AD"/>
    <w:rsid w:val="00983FC5"/>
    <w:rsid w:val="00987137"/>
    <w:rsid w:val="00991FD2"/>
    <w:rsid w:val="009978B0"/>
    <w:rsid w:val="009A06F9"/>
    <w:rsid w:val="009A7049"/>
    <w:rsid w:val="009B4AE1"/>
    <w:rsid w:val="009B537F"/>
    <w:rsid w:val="009B5632"/>
    <w:rsid w:val="009C028B"/>
    <w:rsid w:val="009C03ED"/>
    <w:rsid w:val="009C768A"/>
    <w:rsid w:val="009D1D88"/>
    <w:rsid w:val="009D35D9"/>
    <w:rsid w:val="009D6739"/>
    <w:rsid w:val="009E33FD"/>
    <w:rsid w:val="009F0381"/>
    <w:rsid w:val="00A01C71"/>
    <w:rsid w:val="00A02935"/>
    <w:rsid w:val="00A02D5D"/>
    <w:rsid w:val="00A06789"/>
    <w:rsid w:val="00A07D79"/>
    <w:rsid w:val="00A22437"/>
    <w:rsid w:val="00A31E1D"/>
    <w:rsid w:val="00A32EE5"/>
    <w:rsid w:val="00A34B8E"/>
    <w:rsid w:val="00A43039"/>
    <w:rsid w:val="00A46A43"/>
    <w:rsid w:val="00A605AA"/>
    <w:rsid w:val="00A60B52"/>
    <w:rsid w:val="00A657A0"/>
    <w:rsid w:val="00A70021"/>
    <w:rsid w:val="00A72FD8"/>
    <w:rsid w:val="00A758EB"/>
    <w:rsid w:val="00A87362"/>
    <w:rsid w:val="00A91370"/>
    <w:rsid w:val="00AA011E"/>
    <w:rsid w:val="00AC1265"/>
    <w:rsid w:val="00AC4683"/>
    <w:rsid w:val="00AD43AD"/>
    <w:rsid w:val="00AE2E6E"/>
    <w:rsid w:val="00AE48CF"/>
    <w:rsid w:val="00AE49CC"/>
    <w:rsid w:val="00AF3E3D"/>
    <w:rsid w:val="00AF3FD8"/>
    <w:rsid w:val="00B1177A"/>
    <w:rsid w:val="00B12012"/>
    <w:rsid w:val="00B12BB8"/>
    <w:rsid w:val="00B158F7"/>
    <w:rsid w:val="00B15C2A"/>
    <w:rsid w:val="00B21845"/>
    <w:rsid w:val="00B21F2A"/>
    <w:rsid w:val="00B25C3D"/>
    <w:rsid w:val="00B26181"/>
    <w:rsid w:val="00B35591"/>
    <w:rsid w:val="00B44BD9"/>
    <w:rsid w:val="00B47E72"/>
    <w:rsid w:val="00B52176"/>
    <w:rsid w:val="00B60A6F"/>
    <w:rsid w:val="00B61877"/>
    <w:rsid w:val="00B7530D"/>
    <w:rsid w:val="00B83038"/>
    <w:rsid w:val="00B84DCC"/>
    <w:rsid w:val="00B91056"/>
    <w:rsid w:val="00BA56D4"/>
    <w:rsid w:val="00BA6D60"/>
    <w:rsid w:val="00BC2311"/>
    <w:rsid w:val="00BC23D4"/>
    <w:rsid w:val="00BC48B3"/>
    <w:rsid w:val="00BC5FF5"/>
    <w:rsid w:val="00BD03C3"/>
    <w:rsid w:val="00BD11FF"/>
    <w:rsid w:val="00BD16AB"/>
    <w:rsid w:val="00BD31C9"/>
    <w:rsid w:val="00BD6515"/>
    <w:rsid w:val="00BD6744"/>
    <w:rsid w:val="00BE3F65"/>
    <w:rsid w:val="00BE583D"/>
    <w:rsid w:val="00BF1CC0"/>
    <w:rsid w:val="00BF312A"/>
    <w:rsid w:val="00BF344A"/>
    <w:rsid w:val="00C00CC1"/>
    <w:rsid w:val="00C03C18"/>
    <w:rsid w:val="00C04094"/>
    <w:rsid w:val="00C07978"/>
    <w:rsid w:val="00C13B21"/>
    <w:rsid w:val="00C20E23"/>
    <w:rsid w:val="00C2184A"/>
    <w:rsid w:val="00C22737"/>
    <w:rsid w:val="00C24EF6"/>
    <w:rsid w:val="00C338B4"/>
    <w:rsid w:val="00C33DAE"/>
    <w:rsid w:val="00C36D94"/>
    <w:rsid w:val="00C372FE"/>
    <w:rsid w:val="00C43564"/>
    <w:rsid w:val="00C45CB3"/>
    <w:rsid w:val="00C54AE3"/>
    <w:rsid w:val="00C56670"/>
    <w:rsid w:val="00C6083A"/>
    <w:rsid w:val="00C64231"/>
    <w:rsid w:val="00C70331"/>
    <w:rsid w:val="00C7088B"/>
    <w:rsid w:val="00C71481"/>
    <w:rsid w:val="00C7421D"/>
    <w:rsid w:val="00C75C59"/>
    <w:rsid w:val="00C93430"/>
    <w:rsid w:val="00C93510"/>
    <w:rsid w:val="00CA3CAD"/>
    <w:rsid w:val="00CA4B1D"/>
    <w:rsid w:val="00CA5595"/>
    <w:rsid w:val="00CB4E9D"/>
    <w:rsid w:val="00CC149C"/>
    <w:rsid w:val="00CC33AD"/>
    <w:rsid w:val="00CC6B42"/>
    <w:rsid w:val="00CC7525"/>
    <w:rsid w:val="00CD1102"/>
    <w:rsid w:val="00CD4EB1"/>
    <w:rsid w:val="00CE0CB4"/>
    <w:rsid w:val="00CE1539"/>
    <w:rsid w:val="00CE3906"/>
    <w:rsid w:val="00CE4C25"/>
    <w:rsid w:val="00CE68ED"/>
    <w:rsid w:val="00CE77C4"/>
    <w:rsid w:val="00CF069B"/>
    <w:rsid w:val="00D0457B"/>
    <w:rsid w:val="00D07B06"/>
    <w:rsid w:val="00D21DFD"/>
    <w:rsid w:val="00D25267"/>
    <w:rsid w:val="00D37D50"/>
    <w:rsid w:val="00D405B6"/>
    <w:rsid w:val="00D544D1"/>
    <w:rsid w:val="00D55A72"/>
    <w:rsid w:val="00D55B0F"/>
    <w:rsid w:val="00D56021"/>
    <w:rsid w:val="00D64554"/>
    <w:rsid w:val="00D650E0"/>
    <w:rsid w:val="00D66A72"/>
    <w:rsid w:val="00D720F1"/>
    <w:rsid w:val="00D8459E"/>
    <w:rsid w:val="00D85A76"/>
    <w:rsid w:val="00D86C62"/>
    <w:rsid w:val="00D95223"/>
    <w:rsid w:val="00DA0FBB"/>
    <w:rsid w:val="00DA2156"/>
    <w:rsid w:val="00DA33B4"/>
    <w:rsid w:val="00DA596F"/>
    <w:rsid w:val="00DA71A5"/>
    <w:rsid w:val="00DA7955"/>
    <w:rsid w:val="00DB2BC7"/>
    <w:rsid w:val="00DB31B5"/>
    <w:rsid w:val="00DB39F7"/>
    <w:rsid w:val="00DB5A08"/>
    <w:rsid w:val="00DB60DD"/>
    <w:rsid w:val="00DB7C48"/>
    <w:rsid w:val="00DC30C6"/>
    <w:rsid w:val="00DD2161"/>
    <w:rsid w:val="00DD4A70"/>
    <w:rsid w:val="00DE15FE"/>
    <w:rsid w:val="00DE5D20"/>
    <w:rsid w:val="00DF6619"/>
    <w:rsid w:val="00E02003"/>
    <w:rsid w:val="00E05735"/>
    <w:rsid w:val="00E10005"/>
    <w:rsid w:val="00E11B55"/>
    <w:rsid w:val="00E146B3"/>
    <w:rsid w:val="00E16EBD"/>
    <w:rsid w:val="00E2084D"/>
    <w:rsid w:val="00E26764"/>
    <w:rsid w:val="00E32559"/>
    <w:rsid w:val="00E3371E"/>
    <w:rsid w:val="00E35852"/>
    <w:rsid w:val="00E40133"/>
    <w:rsid w:val="00E43F34"/>
    <w:rsid w:val="00E44900"/>
    <w:rsid w:val="00E449DB"/>
    <w:rsid w:val="00E52B6F"/>
    <w:rsid w:val="00E60035"/>
    <w:rsid w:val="00E654BE"/>
    <w:rsid w:val="00E708F3"/>
    <w:rsid w:val="00E74BB9"/>
    <w:rsid w:val="00E80939"/>
    <w:rsid w:val="00E83ED8"/>
    <w:rsid w:val="00E879DA"/>
    <w:rsid w:val="00E91723"/>
    <w:rsid w:val="00EA2567"/>
    <w:rsid w:val="00EA629B"/>
    <w:rsid w:val="00EB258E"/>
    <w:rsid w:val="00EB2B80"/>
    <w:rsid w:val="00EB3A74"/>
    <w:rsid w:val="00EB49A9"/>
    <w:rsid w:val="00EC0D71"/>
    <w:rsid w:val="00EC1D9F"/>
    <w:rsid w:val="00EC280A"/>
    <w:rsid w:val="00EC439F"/>
    <w:rsid w:val="00EC7CA9"/>
    <w:rsid w:val="00ED64E4"/>
    <w:rsid w:val="00EE5332"/>
    <w:rsid w:val="00EE6C82"/>
    <w:rsid w:val="00EF4A8F"/>
    <w:rsid w:val="00EF5D93"/>
    <w:rsid w:val="00F152AB"/>
    <w:rsid w:val="00F17008"/>
    <w:rsid w:val="00F24179"/>
    <w:rsid w:val="00F279DD"/>
    <w:rsid w:val="00F3291F"/>
    <w:rsid w:val="00F3369B"/>
    <w:rsid w:val="00F378E9"/>
    <w:rsid w:val="00F4148F"/>
    <w:rsid w:val="00F437E6"/>
    <w:rsid w:val="00F43EEE"/>
    <w:rsid w:val="00F46344"/>
    <w:rsid w:val="00F52557"/>
    <w:rsid w:val="00F52D16"/>
    <w:rsid w:val="00F533F8"/>
    <w:rsid w:val="00F545DE"/>
    <w:rsid w:val="00F61B8B"/>
    <w:rsid w:val="00F630E5"/>
    <w:rsid w:val="00F722EC"/>
    <w:rsid w:val="00F842FF"/>
    <w:rsid w:val="00F856A9"/>
    <w:rsid w:val="00F864BD"/>
    <w:rsid w:val="00F92245"/>
    <w:rsid w:val="00F971FA"/>
    <w:rsid w:val="00F9777B"/>
    <w:rsid w:val="00FA11EF"/>
    <w:rsid w:val="00FA2F9B"/>
    <w:rsid w:val="00FA7A6E"/>
    <w:rsid w:val="00FB1006"/>
    <w:rsid w:val="00FD75CD"/>
    <w:rsid w:val="00FE1B9D"/>
    <w:rsid w:val="00FE3C90"/>
    <w:rsid w:val="00FE44DE"/>
    <w:rsid w:val="00FE5F0B"/>
    <w:rsid w:val="00FF4119"/>
    <w:rsid w:val="00FF4A31"/>
    <w:rsid w:val="014325AB"/>
    <w:rsid w:val="0AFA2205"/>
    <w:rsid w:val="0C0F4EFC"/>
    <w:rsid w:val="11DC4720"/>
    <w:rsid w:val="13A62C73"/>
    <w:rsid w:val="15AE193B"/>
    <w:rsid w:val="193A495C"/>
    <w:rsid w:val="1BA347AB"/>
    <w:rsid w:val="1E383D70"/>
    <w:rsid w:val="1FC9516F"/>
    <w:rsid w:val="232113D4"/>
    <w:rsid w:val="23D44659"/>
    <w:rsid w:val="291349C0"/>
    <w:rsid w:val="2AD04A54"/>
    <w:rsid w:val="2E4E7296"/>
    <w:rsid w:val="2EA156A4"/>
    <w:rsid w:val="309E7118"/>
    <w:rsid w:val="341E1FA6"/>
    <w:rsid w:val="35C51979"/>
    <w:rsid w:val="385B3CC1"/>
    <w:rsid w:val="39E00A42"/>
    <w:rsid w:val="3BCA22DA"/>
    <w:rsid w:val="3C073E98"/>
    <w:rsid w:val="3CBC12BA"/>
    <w:rsid w:val="3D766476"/>
    <w:rsid w:val="40144806"/>
    <w:rsid w:val="45B36073"/>
    <w:rsid w:val="4D1A21BE"/>
    <w:rsid w:val="576D7994"/>
    <w:rsid w:val="57833E23"/>
    <w:rsid w:val="599201D0"/>
    <w:rsid w:val="5D7A6448"/>
    <w:rsid w:val="60594335"/>
    <w:rsid w:val="614B4F77"/>
    <w:rsid w:val="61FD44D4"/>
    <w:rsid w:val="62AB0924"/>
    <w:rsid w:val="650938BA"/>
    <w:rsid w:val="661C47B6"/>
    <w:rsid w:val="6BD64940"/>
    <w:rsid w:val="6BE71332"/>
    <w:rsid w:val="70A86D43"/>
    <w:rsid w:val="735313A3"/>
    <w:rsid w:val="77425DDE"/>
    <w:rsid w:val="78625242"/>
    <w:rsid w:val="7A9C6274"/>
    <w:rsid w:val="7EC20D32"/>
    <w:rsid w:val="B6F710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jc w:val="both"/>
    </w:pPr>
    <w:rPr>
      <w:rFonts w:ascii="Times New Roman" w:hAnsi="Times New Roman" w:eastAsia="仿宋_GB2312" w:cs="Times New Roman"/>
      <w:kern w:val="2"/>
      <w:sz w:val="32"/>
      <w:szCs w:val="21"/>
      <w:lang w:val="en-US" w:eastAsia="zh-CN" w:bidi="ar-SA"/>
    </w:rPr>
  </w:style>
  <w:style w:type="paragraph" w:styleId="2">
    <w:name w:val="heading 1"/>
    <w:basedOn w:val="1"/>
    <w:next w:val="1"/>
    <w:link w:val="26"/>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numPr>
        <w:ilvl w:val="1"/>
        <w:numId w:val="1"/>
      </w:numPr>
      <w:spacing w:before="260" w:after="260" w:line="416" w:lineRule="auto"/>
      <w:outlineLvl w:val="1"/>
    </w:pPr>
    <w:rPr>
      <w:rFonts w:ascii="Arial" w:hAnsi="Arial" w:eastAsia="黑体"/>
      <w:b/>
      <w:bCs/>
      <w:szCs w:val="32"/>
    </w:rPr>
  </w:style>
  <w:style w:type="paragraph" w:styleId="4">
    <w:name w:val="heading 3"/>
    <w:basedOn w:val="1"/>
    <w:next w:val="1"/>
    <w:link w:val="28"/>
    <w:qFormat/>
    <w:uiPriority w:val="99"/>
    <w:pPr>
      <w:keepNext/>
      <w:keepLines/>
      <w:numPr>
        <w:ilvl w:val="2"/>
        <w:numId w:val="1"/>
      </w:numPr>
      <w:spacing w:before="260" w:after="260" w:line="416" w:lineRule="auto"/>
      <w:outlineLvl w:val="2"/>
    </w:pPr>
    <w:rPr>
      <w:b/>
      <w:bCs/>
      <w:szCs w:val="32"/>
    </w:rPr>
  </w:style>
  <w:style w:type="paragraph" w:styleId="5">
    <w:name w:val="heading 4"/>
    <w:basedOn w:val="1"/>
    <w:next w:val="1"/>
    <w:link w:val="29"/>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30"/>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32"/>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33"/>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34"/>
    <w:qFormat/>
    <w:uiPriority w:val="0"/>
    <w:pPr>
      <w:keepNext/>
      <w:keepLines/>
      <w:numPr>
        <w:ilvl w:val="8"/>
        <w:numId w:val="1"/>
      </w:numPr>
      <w:spacing w:before="240" w:after="64" w:line="320" w:lineRule="auto"/>
      <w:outlineLvl w:val="8"/>
    </w:pPr>
    <w:rPr>
      <w:rFonts w:ascii="Arial" w:hAnsi="Arial" w:eastAsia="黑体"/>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Plain Text"/>
    <w:basedOn w:val="1"/>
    <w:link w:val="53"/>
    <w:qFormat/>
    <w:uiPriority w:val="0"/>
    <w:pPr>
      <w:spacing w:line="240" w:lineRule="auto"/>
      <w:ind w:firstLine="0" w:firstLineChars="0"/>
    </w:pPr>
    <w:rPr>
      <w:rFonts w:ascii="宋体" w:hAnsi="Courier New" w:eastAsia="宋体" w:cs="Courier New"/>
      <w:sz w:val="21"/>
    </w:rPr>
  </w:style>
  <w:style w:type="paragraph" w:styleId="13">
    <w:name w:val="Date"/>
    <w:basedOn w:val="1"/>
    <w:next w:val="1"/>
    <w:link w:val="42"/>
    <w:unhideWhenUsed/>
    <w:qFormat/>
    <w:uiPriority w:val="99"/>
    <w:pPr>
      <w:ind w:left="100" w:leftChars="2500"/>
    </w:pPr>
  </w:style>
  <w:style w:type="paragraph" w:styleId="14">
    <w:name w:val="Balloon Text"/>
    <w:basedOn w:val="1"/>
    <w:link w:val="54"/>
    <w:unhideWhenUsed/>
    <w:qFormat/>
    <w:uiPriority w:val="99"/>
    <w:pPr>
      <w:spacing w:line="240" w:lineRule="auto"/>
    </w:pPr>
    <w:rPr>
      <w:sz w:val="18"/>
      <w:szCs w:val="18"/>
    </w:rPr>
  </w:style>
  <w:style w:type="paragraph" w:styleId="15">
    <w:name w:val="footer"/>
    <w:basedOn w:val="1"/>
    <w:link w:val="41"/>
    <w:unhideWhenUsed/>
    <w:qFormat/>
    <w:uiPriority w:val="99"/>
    <w:pPr>
      <w:tabs>
        <w:tab w:val="center" w:pos="4153"/>
        <w:tab w:val="right" w:pos="8306"/>
      </w:tabs>
      <w:snapToGrid w:val="0"/>
      <w:jc w:val="left"/>
    </w:pPr>
    <w:rPr>
      <w:sz w:val="18"/>
      <w:szCs w:val="18"/>
    </w:rPr>
  </w:style>
  <w:style w:type="paragraph" w:styleId="16">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6"/>
    <w:qFormat/>
    <w:uiPriority w:val="0"/>
    <w:pPr>
      <w:spacing w:line="360" w:lineRule="auto"/>
      <w:jc w:val="left"/>
      <w:outlineLvl w:val="1"/>
    </w:pPr>
    <w:rPr>
      <w:b/>
      <w:bCs/>
      <w:kern w:val="28"/>
      <w:sz w:val="28"/>
      <w:szCs w:val="32"/>
    </w:rPr>
  </w:style>
  <w:style w:type="paragraph" w:styleId="1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9">
    <w:name w:val="Title"/>
    <w:basedOn w:val="1"/>
    <w:next w:val="1"/>
    <w:link w:val="35"/>
    <w:qFormat/>
    <w:uiPriority w:val="0"/>
    <w:pPr>
      <w:spacing w:line="640" w:lineRule="exact"/>
      <w:ind w:firstLine="0" w:firstLineChars="0"/>
      <w:jc w:val="center"/>
      <w:outlineLvl w:val="0"/>
    </w:pPr>
    <w:rPr>
      <w:rFonts w:eastAsia="方正小标宋简体"/>
      <w:bCs/>
      <w:sz w:val="44"/>
      <w:szCs w:val="32"/>
    </w:rPr>
  </w:style>
  <w:style w:type="table" w:styleId="21">
    <w:name w:val="Table Grid"/>
    <w:basedOn w:val="20"/>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qFormat/>
    <w:uiPriority w:val="0"/>
    <w:rPr>
      <w:b/>
      <w:bCs/>
    </w:rPr>
  </w:style>
  <w:style w:type="character" w:styleId="24">
    <w:name w:val="Emphasis"/>
    <w:qFormat/>
    <w:uiPriority w:val="20"/>
    <w:rPr>
      <w:i/>
      <w:iCs/>
    </w:rPr>
  </w:style>
  <w:style w:type="character" w:styleId="25">
    <w:name w:val="Hyperlink"/>
    <w:basedOn w:val="22"/>
    <w:unhideWhenUsed/>
    <w:qFormat/>
    <w:uiPriority w:val="99"/>
    <w:rPr>
      <w:color w:val="0000FF"/>
      <w:u w:val="single"/>
    </w:rPr>
  </w:style>
  <w:style w:type="character" w:customStyle="1" w:styleId="26">
    <w:name w:val="标题 1 Char"/>
    <w:basedOn w:val="22"/>
    <w:link w:val="2"/>
    <w:qFormat/>
    <w:uiPriority w:val="0"/>
    <w:rPr>
      <w:b/>
      <w:bCs/>
      <w:kern w:val="44"/>
      <w:sz w:val="44"/>
      <w:szCs w:val="44"/>
    </w:rPr>
  </w:style>
  <w:style w:type="character" w:customStyle="1" w:styleId="27">
    <w:name w:val="标题 2 Char"/>
    <w:basedOn w:val="22"/>
    <w:link w:val="3"/>
    <w:qFormat/>
    <w:uiPriority w:val="0"/>
    <w:rPr>
      <w:rFonts w:ascii="Arial" w:hAnsi="Arial" w:eastAsia="黑体"/>
      <w:b/>
      <w:bCs/>
      <w:kern w:val="2"/>
      <w:sz w:val="32"/>
      <w:szCs w:val="32"/>
    </w:rPr>
  </w:style>
  <w:style w:type="character" w:customStyle="1" w:styleId="28">
    <w:name w:val="标题 3 Char"/>
    <w:basedOn w:val="22"/>
    <w:link w:val="4"/>
    <w:qFormat/>
    <w:uiPriority w:val="99"/>
    <w:rPr>
      <w:b/>
      <w:bCs/>
      <w:kern w:val="2"/>
      <w:sz w:val="32"/>
      <w:szCs w:val="32"/>
    </w:rPr>
  </w:style>
  <w:style w:type="character" w:customStyle="1" w:styleId="29">
    <w:name w:val="标题 4 Char"/>
    <w:basedOn w:val="22"/>
    <w:link w:val="5"/>
    <w:qFormat/>
    <w:uiPriority w:val="0"/>
    <w:rPr>
      <w:rFonts w:ascii="Arial" w:hAnsi="Arial" w:eastAsia="黑体"/>
      <w:b/>
      <w:bCs/>
      <w:kern w:val="2"/>
      <w:sz w:val="28"/>
      <w:szCs w:val="28"/>
    </w:rPr>
  </w:style>
  <w:style w:type="character" w:customStyle="1" w:styleId="30">
    <w:name w:val="标题 5 Char"/>
    <w:basedOn w:val="22"/>
    <w:link w:val="6"/>
    <w:qFormat/>
    <w:uiPriority w:val="0"/>
    <w:rPr>
      <w:b/>
      <w:bCs/>
      <w:kern w:val="2"/>
      <w:sz w:val="28"/>
      <w:szCs w:val="28"/>
    </w:rPr>
  </w:style>
  <w:style w:type="character" w:customStyle="1" w:styleId="31">
    <w:name w:val="标题 6 Char"/>
    <w:basedOn w:val="22"/>
    <w:link w:val="7"/>
    <w:qFormat/>
    <w:uiPriority w:val="0"/>
    <w:rPr>
      <w:rFonts w:ascii="Arial" w:hAnsi="Arial" w:eastAsia="黑体"/>
      <w:b/>
      <w:bCs/>
      <w:kern w:val="2"/>
      <w:sz w:val="24"/>
      <w:szCs w:val="24"/>
    </w:rPr>
  </w:style>
  <w:style w:type="character" w:customStyle="1" w:styleId="32">
    <w:name w:val="标题 7 Char"/>
    <w:basedOn w:val="22"/>
    <w:link w:val="8"/>
    <w:qFormat/>
    <w:uiPriority w:val="0"/>
    <w:rPr>
      <w:b/>
      <w:bCs/>
      <w:kern w:val="2"/>
      <w:sz w:val="24"/>
      <w:szCs w:val="24"/>
    </w:rPr>
  </w:style>
  <w:style w:type="character" w:customStyle="1" w:styleId="33">
    <w:name w:val="标题 8 Char"/>
    <w:basedOn w:val="22"/>
    <w:link w:val="9"/>
    <w:qFormat/>
    <w:uiPriority w:val="0"/>
    <w:rPr>
      <w:rFonts w:ascii="Arial" w:hAnsi="Arial" w:eastAsia="黑体"/>
      <w:kern w:val="2"/>
      <w:sz w:val="24"/>
      <w:szCs w:val="24"/>
    </w:rPr>
  </w:style>
  <w:style w:type="character" w:customStyle="1" w:styleId="34">
    <w:name w:val="标题 9 Char"/>
    <w:basedOn w:val="22"/>
    <w:link w:val="10"/>
    <w:qFormat/>
    <w:uiPriority w:val="0"/>
    <w:rPr>
      <w:rFonts w:ascii="Arial" w:hAnsi="Arial" w:eastAsia="黑体"/>
      <w:kern w:val="2"/>
      <w:sz w:val="21"/>
      <w:szCs w:val="21"/>
    </w:rPr>
  </w:style>
  <w:style w:type="character" w:customStyle="1" w:styleId="35">
    <w:name w:val="标题 Char"/>
    <w:basedOn w:val="22"/>
    <w:link w:val="19"/>
    <w:qFormat/>
    <w:uiPriority w:val="0"/>
    <w:rPr>
      <w:rFonts w:eastAsia="方正小标宋简体"/>
      <w:bCs/>
      <w:kern w:val="2"/>
      <w:sz w:val="44"/>
      <w:szCs w:val="32"/>
    </w:rPr>
  </w:style>
  <w:style w:type="character" w:customStyle="1" w:styleId="36">
    <w:name w:val="副标题 Char"/>
    <w:basedOn w:val="22"/>
    <w:link w:val="17"/>
    <w:qFormat/>
    <w:uiPriority w:val="0"/>
    <w:rPr>
      <w:rFonts w:cs="Times New Roman"/>
      <w:b/>
      <w:bCs/>
      <w:kern w:val="28"/>
      <w:sz w:val="28"/>
      <w:szCs w:val="32"/>
    </w:rPr>
  </w:style>
  <w:style w:type="paragraph" w:customStyle="1" w:styleId="37">
    <w:name w:val="无间隔1"/>
    <w:link w:val="38"/>
    <w:qFormat/>
    <w:uiPriority w:val="1"/>
    <w:rPr>
      <w:rFonts w:ascii="Calibri" w:hAnsi="Calibri" w:eastAsia="宋体" w:cs="Times New Roman"/>
      <w:sz w:val="22"/>
      <w:szCs w:val="22"/>
      <w:lang w:val="en-US" w:eastAsia="zh-CN" w:bidi="ar-SA"/>
    </w:rPr>
  </w:style>
  <w:style w:type="character" w:customStyle="1" w:styleId="38">
    <w:name w:val="无间隔 Char"/>
    <w:basedOn w:val="22"/>
    <w:link w:val="37"/>
    <w:qFormat/>
    <w:uiPriority w:val="1"/>
    <w:rPr>
      <w:rFonts w:ascii="Calibri" w:hAnsi="Calibri"/>
      <w:sz w:val="22"/>
      <w:szCs w:val="22"/>
    </w:rPr>
  </w:style>
  <w:style w:type="paragraph" w:customStyle="1" w:styleId="39">
    <w:name w:val="列出段落1"/>
    <w:basedOn w:val="1"/>
    <w:qFormat/>
    <w:uiPriority w:val="34"/>
    <w:pPr>
      <w:ind w:firstLine="420"/>
    </w:pPr>
  </w:style>
  <w:style w:type="character" w:customStyle="1" w:styleId="40">
    <w:name w:val="页眉 Char"/>
    <w:basedOn w:val="22"/>
    <w:link w:val="16"/>
    <w:semiHidden/>
    <w:qFormat/>
    <w:uiPriority w:val="99"/>
    <w:rPr>
      <w:kern w:val="2"/>
      <w:sz w:val="18"/>
      <w:szCs w:val="18"/>
    </w:rPr>
  </w:style>
  <w:style w:type="character" w:customStyle="1" w:styleId="41">
    <w:name w:val="页脚 Char"/>
    <w:basedOn w:val="22"/>
    <w:link w:val="15"/>
    <w:qFormat/>
    <w:uiPriority w:val="99"/>
    <w:rPr>
      <w:kern w:val="2"/>
      <w:sz w:val="18"/>
      <w:szCs w:val="18"/>
    </w:rPr>
  </w:style>
  <w:style w:type="character" w:customStyle="1" w:styleId="42">
    <w:name w:val="日期 Char"/>
    <w:basedOn w:val="22"/>
    <w:link w:val="13"/>
    <w:semiHidden/>
    <w:qFormat/>
    <w:uiPriority w:val="99"/>
    <w:rPr>
      <w:kern w:val="2"/>
      <w:sz w:val="21"/>
      <w:szCs w:val="21"/>
    </w:rPr>
  </w:style>
  <w:style w:type="character" w:customStyle="1" w:styleId="43">
    <w:name w:val="font11"/>
    <w:basedOn w:val="22"/>
    <w:qFormat/>
    <w:uiPriority w:val="0"/>
    <w:rPr>
      <w:rFonts w:hint="default" w:ascii="Arial" w:hAnsi="Arial" w:cs="Arial"/>
      <w:b/>
      <w:color w:val="000000"/>
      <w:sz w:val="22"/>
      <w:szCs w:val="22"/>
      <w:u w:val="none"/>
    </w:rPr>
  </w:style>
  <w:style w:type="character" w:customStyle="1" w:styleId="44">
    <w:name w:val="font81"/>
    <w:basedOn w:val="22"/>
    <w:qFormat/>
    <w:uiPriority w:val="0"/>
    <w:rPr>
      <w:rFonts w:hint="eastAsia" w:ascii="宋体" w:hAnsi="宋体" w:eastAsia="宋体" w:cs="宋体"/>
      <w:b/>
      <w:color w:val="000000"/>
      <w:sz w:val="22"/>
      <w:szCs w:val="22"/>
      <w:u w:val="none"/>
    </w:rPr>
  </w:style>
  <w:style w:type="character" w:customStyle="1" w:styleId="45">
    <w:name w:val="font61"/>
    <w:basedOn w:val="22"/>
    <w:qFormat/>
    <w:uiPriority w:val="0"/>
    <w:rPr>
      <w:rFonts w:hint="eastAsia" w:ascii="宋体" w:hAnsi="宋体" w:eastAsia="宋体" w:cs="宋体"/>
      <w:b/>
      <w:color w:val="000000"/>
      <w:sz w:val="24"/>
      <w:szCs w:val="24"/>
      <w:u w:val="none"/>
    </w:rPr>
  </w:style>
  <w:style w:type="character" w:customStyle="1" w:styleId="46">
    <w:name w:val="font91"/>
    <w:basedOn w:val="22"/>
    <w:qFormat/>
    <w:uiPriority w:val="0"/>
    <w:rPr>
      <w:rFonts w:hint="eastAsia" w:ascii="宋体" w:hAnsi="宋体" w:eastAsia="宋体" w:cs="宋体"/>
      <w:color w:val="0000FF"/>
      <w:sz w:val="22"/>
      <w:szCs w:val="22"/>
      <w:u w:val="none"/>
    </w:rPr>
  </w:style>
  <w:style w:type="character" w:customStyle="1" w:styleId="47">
    <w:name w:val="font121"/>
    <w:basedOn w:val="22"/>
    <w:qFormat/>
    <w:uiPriority w:val="0"/>
    <w:rPr>
      <w:rFonts w:hint="eastAsia" w:ascii="宋体" w:hAnsi="宋体" w:eastAsia="宋体" w:cs="宋体"/>
      <w:color w:val="000000"/>
      <w:sz w:val="22"/>
      <w:szCs w:val="22"/>
      <w:u w:val="none"/>
    </w:rPr>
  </w:style>
  <w:style w:type="character" w:customStyle="1" w:styleId="48">
    <w:name w:val="font101"/>
    <w:basedOn w:val="22"/>
    <w:qFormat/>
    <w:uiPriority w:val="0"/>
    <w:rPr>
      <w:rFonts w:hint="default" w:ascii="Arial" w:hAnsi="Arial" w:cs="Arial"/>
      <w:color w:val="000000"/>
      <w:sz w:val="22"/>
      <w:szCs w:val="22"/>
      <w:u w:val="none"/>
    </w:rPr>
  </w:style>
  <w:style w:type="character" w:customStyle="1" w:styleId="49">
    <w:name w:val="font71"/>
    <w:basedOn w:val="22"/>
    <w:qFormat/>
    <w:uiPriority w:val="0"/>
    <w:rPr>
      <w:rFonts w:hint="eastAsia" w:ascii="宋体" w:hAnsi="宋体" w:eastAsia="宋体" w:cs="宋体"/>
      <w:b/>
      <w:color w:val="000000"/>
      <w:sz w:val="22"/>
      <w:szCs w:val="22"/>
      <w:u w:val="none"/>
    </w:rPr>
  </w:style>
  <w:style w:type="character" w:customStyle="1" w:styleId="50">
    <w:name w:val="font41"/>
    <w:basedOn w:val="22"/>
    <w:qFormat/>
    <w:uiPriority w:val="0"/>
    <w:rPr>
      <w:rFonts w:hint="eastAsia" w:ascii="宋体" w:hAnsi="宋体" w:eastAsia="宋体" w:cs="宋体"/>
      <w:b/>
      <w:color w:val="0000FF"/>
      <w:sz w:val="22"/>
      <w:szCs w:val="22"/>
      <w:u w:val="none"/>
    </w:rPr>
  </w:style>
  <w:style w:type="character" w:customStyle="1" w:styleId="51">
    <w:name w:val="font31"/>
    <w:basedOn w:val="22"/>
    <w:qFormat/>
    <w:uiPriority w:val="0"/>
    <w:rPr>
      <w:rFonts w:hint="default" w:ascii="Arial" w:hAnsi="Arial" w:cs="Arial"/>
      <w:b/>
      <w:color w:val="000000"/>
      <w:sz w:val="22"/>
      <w:szCs w:val="22"/>
      <w:u w:val="none"/>
    </w:rPr>
  </w:style>
  <w:style w:type="character" w:customStyle="1" w:styleId="52">
    <w:name w:val="font51"/>
    <w:basedOn w:val="22"/>
    <w:qFormat/>
    <w:uiPriority w:val="0"/>
    <w:rPr>
      <w:rFonts w:hint="eastAsia" w:ascii="宋体" w:hAnsi="宋体" w:eastAsia="宋体" w:cs="宋体"/>
      <w:color w:val="000000"/>
      <w:sz w:val="22"/>
      <w:szCs w:val="22"/>
      <w:u w:val="none"/>
    </w:rPr>
  </w:style>
  <w:style w:type="character" w:customStyle="1" w:styleId="53">
    <w:name w:val="纯文本 Char"/>
    <w:basedOn w:val="22"/>
    <w:link w:val="12"/>
    <w:qFormat/>
    <w:uiPriority w:val="0"/>
    <w:rPr>
      <w:rFonts w:ascii="宋体" w:hAnsi="Courier New" w:cs="Courier New"/>
      <w:kern w:val="2"/>
      <w:sz w:val="21"/>
      <w:szCs w:val="21"/>
    </w:rPr>
  </w:style>
  <w:style w:type="character" w:customStyle="1" w:styleId="54">
    <w:name w:val="批注框文本 Char"/>
    <w:basedOn w:val="22"/>
    <w:link w:val="14"/>
    <w:semiHidden/>
    <w:qFormat/>
    <w:uiPriority w:val="99"/>
    <w:rPr>
      <w:rFonts w:eastAsia="仿宋_GB2312"/>
      <w:kern w:val="2"/>
      <w:sz w:val="18"/>
      <w:szCs w:val="18"/>
    </w:rPr>
  </w:style>
  <w:style w:type="paragraph" w:customStyle="1" w:styleId="55">
    <w:name w:val="列出段落11"/>
    <w:basedOn w:val="1"/>
    <w:qFormat/>
    <w:uiPriority w:val="0"/>
    <w:pPr>
      <w:spacing w:beforeLines="50" w:line="240" w:lineRule="auto"/>
      <w:ind w:firstLine="420"/>
    </w:pPr>
    <w:rPr>
      <w:rFonts w:eastAsia="宋体"/>
      <w:sz w:val="21"/>
      <w:szCs w:val="24"/>
    </w:rPr>
  </w:style>
  <w:style w:type="character" w:customStyle="1" w:styleId="56">
    <w:name w:val="op_dict_text2"/>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11</Pages>
  <Words>5707</Words>
  <Characters>7445</Characters>
  <Lines>70</Lines>
  <Paragraphs>19</Paragraphs>
  <TotalTime>0</TotalTime>
  <ScaleCrop>false</ScaleCrop>
  <LinksUpToDate>false</LinksUpToDate>
  <CharactersWithSpaces>7627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2019-08-05T21:33:00Z</dcterms:created>
  <dc:creator>微软用户</dc:creator>
  <cp:lastModifiedBy>lueilueiluei</cp:lastModifiedBy>
  <cp:lastPrinted>2019-06-17T09:45:00Z</cp:lastPrinted>
  <dcterms:modified xsi:type="dcterms:W3CDTF">2023-08-24T04:55:21Z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73B2EF0F0F97497388A6B7AD344015D8_13</vt:lpwstr>
  </property>
</Properties>
</file>