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eastAsia="方正小标宋简体"/>
          <w:b/>
          <w:sz w:val="28"/>
          <w:szCs w:val="28"/>
        </w:rPr>
      </w:pPr>
      <w:r>
        <w:rPr>
          <w:rFonts w:hint="eastAsia" w:eastAsia="方正小标宋简体"/>
          <w:b/>
          <w:sz w:val="28"/>
          <w:szCs w:val="28"/>
        </w:rPr>
        <w:t>新闻传播学一级学科博士研究生培养方案（内招）</w:t>
      </w:r>
    </w:p>
    <w:p>
      <w:pPr>
        <w:ind w:firstLine="640"/>
        <w:jc w:val="center"/>
        <w:rPr>
          <w:rFonts w:eastAsia="方正小标宋简体"/>
          <w:b/>
          <w:sz w:val="28"/>
          <w:szCs w:val="28"/>
        </w:rPr>
      </w:pPr>
      <w:r>
        <w:rPr>
          <w:rFonts w:eastAsia="方正小标宋简体"/>
          <w:b/>
          <w:sz w:val="28"/>
          <w:szCs w:val="28"/>
        </w:rPr>
        <w:t>Developing Plan for PhD of Journalism and Communication</w:t>
      </w:r>
    </w:p>
    <w:p>
      <w:pPr>
        <w:ind w:firstLine="640"/>
        <w:jc w:val="center"/>
        <w:rPr>
          <w:rFonts w:eastAsia="方正小标宋简体"/>
          <w:b/>
          <w:sz w:val="28"/>
          <w:szCs w:val="28"/>
        </w:rPr>
      </w:pPr>
      <w:r>
        <w:rPr>
          <w:rFonts w:hint="eastAsia" w:eastAsia="方正小标宋简体"/>
          <w:b/>
          <w:sz w:val="28"/>
          <w:szCs w:val="28"/>
        </w:rPr>
        <w:t>（0503）</w:t>
      </w:r>
    </w:p>
    <w:p>
      <w:pPr>
        <w:spacing w:line="460" w:lineRule="exact"/>
        <w:ind w:firstLine="482" w:firstLineChars="200"/>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一、培养方向</w:t>
      </w:r>
    </w:p>
    <w:p>
      <w:pPr>
        <w:spacing w:line="460" w:lineRule="exact"/>
        <w:ind w:firstLine="480" w:firstLineChars="200"/>
        <w:rPr>
          <w:rFonts w:ascii="仿宋" w:hAnsi="仿宋" w:eastAsia="仿宋"/>
          <w:sz w:val="24"/>
          <w:szCs w:val="24"/>
        </w:rPr>
      </w:pPr>
      <w:r>
        <w:rPr>
          <w:rFonts w:hint="eastAsia" w:ascii="仿宋" w:hAnsi="仿宋" w:eastAsia="仿宋"/>
          <w:sz w:val="24"/>
          <w:szCs w:val="24"/>
        </w:rPr>
        <w:t>1. 050301 新闻学 Journalism</w:t>
      </w:r>
    </w:p>
    <w:p>
      <w:pPr>
        <w:spacing w:line="460" w:lineRule="exact"/>
        <w:ind w:firstLine="480" w:firstLineChars="200"/>
        <w:rPr>
          <w:rFonts w:ascii="仿宋" w:hAnsi="仿宋" w:eastAsia="仿宋"/>
          <w:sz w:val="24"/>
          <w:szCs w:val="24"/>
        </w:rPr>
      </w:pPr>
      <w:r>
        <w:rPr>
          <w:rFonts w:hint="eastAsia" w:ascii="仿宋" w:hAnsi="仿宋" w:eastAsia="仿宋"/>
          <w:sz w:val="24"/>
          <w:szCs w:val="24"/>
        </w:rPr>
        <w:t>2. 050302 传播学 Communication</w:t>
      </w:r>
    </w:p>
    <w:p>
      <w:pPr>
        <w:spacing w:line="460" w:lineRule="exact"/>
        <w:ind w:firstLine="480" w:firstLineChars="200"/>
        <w:rPr>
          <w:rFonts w:ascii="仿宋" w:hAnsi="仿宋" w:eastAsia="仿宋"/>
          <w:sz w:val="24"/>
          <w:szCs w:val="24"/>
        </w:rPr>
      </w:pPr>
      <w:r>
        <w:rPr>
          <w:rFonts w:hint="eastAsia" w:ascii="仿宋" w:hAnsi="仿宋" w:eastAsia="仿宋"/>
          <w:sz w:val="24"/>
          <w:szCs w:val="24"/>
        </w:rPr>
        <w:t>3. 0503Z1 广告学 Advertising</w:t>
      </w:r>
    </w:p>
    <w:p>
      <w:pPr>
        <w:spacing w:line="460" w:lineRule="exact"/>
        <w:ind w:firstLine="480" w:firstLineChars="200"/>
        <w:rPr>
          <w:rFonts w:ascii="仿宋" w:hAnsi="仿宋" w:eastAsia="仿宋"/>
          <w:sz w:val="24"/>
          <w:szCs w:val="24"/>
        </w:rPr>
      </w:pPr>
      <w:r>
        <w:rPr>
          <w:rFonts w:hint="eastAsia" w:ascii="仿宋" w:hAnsi="仿宋" w:eastAsia="仿宋"/>
          <w:sz w:val="24"/>
          <w:szCs w:val="24"/>
        </w:rPr>
        <w:t>4. 0503Z2 广播电视学 Broadcasting</w:t>
      </w:r>
    </w:p>
    <w:p>
      <w:pPr>
        <w:spacing w:line="460" w:lineRule="exact"/>
        <w:ind w:firstLine="480" w:firstLineChars="200"/>
        <w:rPr>
          <w:rFonts w:ascii="仿宋" w:hAnsi="仿宋" w:eastAsia="仿宋"/>
          <w:sz w:val="24"/>
          <w:szCs w:val="24"/>
        </w:rPr>
      </w:pPr>
      <w:r>
        <w:rPr>
          <w:rFonts w:hint="eastAsia" w:ascii="仿宋" w:hAnsi="仿宋" w:eastAsia="仿宋"/>
          <w:sz w:val="24"/>
          <w:szCs w:val="24"/>
        </w:rPr>
        <w:t xml:space="preserve">5. </w:t>
      </w:r>
      <w:r>
        <w:rPr>
          <w:rFonts w:ascii="仿宋" w:hAnsi="仿宋" w:eastAsia="仿宋"/>
          <w:sz w:val="24"/>
          <w:szCs w:val="24"/>
        </w:rPr>
        <w:t>0503Z</w:t>
      </w:r>
      <w:r>
        <w:rPr>
          <w:rFonts w:hint="eastAsia" w:ascii="仿宋" w:hAnsi="仿宋" w:eastAsia="仿宋"/>
          <w:sz w:val="24"/>
          <w:szCs w:val="24"/>
        </w:rPr>
        <w:t>3 国际传播 International Communication</w:t>
      </w:r>
    </w:p>
    <w:p>
      <w:pPr>
        <w:spacing w:line="460" w:lineRule="exact"/>
        <w:ind w:firstLine="482" w:firstLineChars="200"/>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二、培养目标及基本要求</w:t>
      </w:r>
    </w:p>
    <w:p>
      <w:pPr>
        <w:spacing w:line="460" w:lineRule="exact"/>
        <w:ind w:firstLine="482" w:firstLineChars="200"/>
        <w:rPr>
          <w:rFonts w:ascii="仿宋" w:hAnsi="仿宋" w:eastAsia="仿宋"/>
          <w:b/>
          <w:bCs/>
          <w:color w:val="000000" w:themeColor="text1"/>
          <w:sz w:val="24"/>
          <w:szCs w:val="24"/>
          <w14:textFill>
            <w14:solidFill>
              <w14:schemeClr w14:val="tx1"/>
            </w14:solidFill>
          </w14:textFill>
        </w:rPr>
      </w:pPr>
      <w:r>
        <w:rPr>
          <w:rFonts w:hint="eastAsia" w:ascii="仿宋" w:hAnsi="仿宋" w:eastAsia="仿宋"/>
          <w:b/>
          <w:bCs/>
          <w:color w:val="000000" w:themeColor="text1"/>
          <w:sz w:val="24"/>
          <w:szCs w:val="24"/>
          <w14:textFill>
            <w14:solidFill>
              <w14:schemeClr w14:val="tx1"/>
            </w14:solidFill>
          </w14:textFill>
        </w:rPr>
        <w:t>（一）培养目标</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培养德智体美劳全面发展，具有坚定正确的政治方向，热爱社会主义祖国，拥护中国共产党的领导，牢固树立马克思主义新闻观，系统掌握新闻传播学基础理论、研究方法、前沿议题，具备较高的跨学科视野和国际对话能力，能够批判性地开展学术研究的研究型新闻传播人才。</w:t>
      </w:r>
    </w:p>
    <w:p>
      <w:pPr>
        <w:spacing w:line="460" w:lineRule="exact"/>
        <w:ind w:firstLine="200"/>
        <w:rPr>
          <w:rFonts w:ascii="仿宋" w:hAnsi="仿宋" w:eastAsia="仿宋"/>
          <w:b/>
          <w:bCs/>
          <w:color w:val="000000" w:themeColor="text1"/>
          <w:sz w:val="24"/>
          <w:szCs w:val="24"/>
          <w14:textFill>
            <w14:solidFill>
              <w14:schemeClr w14:val="tx1"/>
            </w14:solidFill>
          </w14:textFill>
        </w:rPr>
      </w:pPr>
      <w:r>
        <w:rPr>
          <w:rFonts w:hint="eastAsia" w:ascii="仿宋" w:hAnsi="仿宋" w:eastAsia="仿宋"/>
          <w:b/>
          <w:bCs/>
          <w:color w:val="000000" w:themeColor="text1"/>
          <w:sz w:val="24"/>
          <w:szCs w:val="24"/>
          <w14:textFill>
            <w14:solidFill>
              <w14:schemeClr w14:val="tx1"/>
            </w14:solidFill>
          </w14:textFill>
        </w:rPr>
        <w:t>（二）基本要求</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1.全面掌握马克思主义新闻观的基本理念、演进历史、当代发展。</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2.广泛阅读人文社会科学和新闻传播学经典著作，系统掌握新闻传播学的基础理论，能够对新闻传播学问题开展跨学科研究，具备学术研究的批判性思维和创造性思维。</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3.掌握社会科学研究的质化研究方法、量化研究方法，以及大数据研究方法，能够科学地发现问题、提出问题、解决问题。</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4.熟练掌握一门外语，具有阅读外文文献、开展国际对话的外语交流能力。</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5.恪守社会公德、新闻传播职业道德和学术规范。</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6.遵纪守法，品行端正，身心健康。</w:t>
      </w:r>
    </w:p>
    <w:p>
      <w:pPr>
        <w:spacing w:line="460" w:lineRule="exact"/>
        <w:ind w:firstLine="482" w:firstLineChars="200"/>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三、学习年限</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博士生的学制为3年。根据情况，学习年限可适当延长，最长不得超过7年。</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博士研究生学业成绩优良，科研成果突出，提前达到学校毕业要求的，可以申请提前毕业。具体按《暨南大学研究生学籍管理规定》执行。</w:t>
      </w:r>
    </w:p>
    <w:p>
      <w:pPr>
        <w:spacing w:line="460" w:lineRule="exact"/>
        <w:ind w:firstLine="482" w:firstLineChars="200"/>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四、培养方式</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学术学位博士生的培养主要采取课程学习、科学研究、学术交流、教学实践、学位论文相结合的方式，以科学研究工作为主。博士生的培养工作采取导师负责制，以导师指导和导师小组指导相结合的方式，鼓励学科交叉，鼓励海内外合作培养。</w:t>
      </w:r>
    </w:p>
    <w:p>
      <w:pPr>
        <w:spacing w:line="460" w:lineRule="exact"/>
        <w:ind w:firstLine="482" w:firstLineChars="200"/>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五、学分要求及课程体系设置</w:t>
      </w:r>
    </w:p>
    <w:p>
      <w:pPr>
        <w:spacing w:line="460" w:lineRule="exact"/>
        <w:ind w:firstLine="480" w:firstLineChars="200"/>
        <w:rPr>
          <w:rFonts w:ascii="仿宋" w:hAnsi="仿宋" w:eastAsia="仿宋" w:cs="宋体"/>
          <w:sz w:val="24"/>
          <w:szCs w:val="24"/>
        </w:rPr>
      </w:pPr>
      <w:r>
        <w:rPr>
          <w:rFonts w:hint="eastAsia" w:ascii="仿宋" w:hAnsi="仿宋" w:eastAsia="仿宋" w:cs="宋体"/>
          <w:sz w:val="24"/>
          <w:szCs w:val="24"/>
        </w:rPr>
        <w:t>本学科要求修满21学分，其中公共学位课5学分，专业学位课6学分，非学位课程10学分。</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公共选修课学科前沿讲座为</w:t>
      </w:r>
      <w:r>
        <w:rPr>
          <w:rFonts w:hint="eastAsia" w:ascii="仿宋" w:hAnsi="仿宋" w:eastAsia="仿宋"/>
          <w:sz w:val="24"/>
          <w:szCs w:val="24"/>
        </w:rPr>
        <w:t>必选课，前沿讲座包含学术诚信、学术规范、学术道德以及工程伦理等的教育。博士生在第1-3学期应参加不少于25次学科前沿讲座，在本学科专业做一次相关的学术报告（学术报告与博士学术分享会同时进行），并提交1篇不少于3000字的学习心得，计1 学分。</w:t>
      </w:r>
    </w:p>
    <w:p>
      <w:pPr>
        <w:spacing w:line="460" w:lineRule="exact"/>
        <w:ind w:firstLine="480" w:firstLineChars="200"/>
        <w:rPr>
          <w:rFonts w:ascii="仿宋" w:hAnsi="仿宋" w:eastAsia="仿宋"/>
          <w:sz w:val="24"/>
          <w:szCs w:val="24"/>
        </w:rPr>
      </w:pPr>
      <w:r>
        <w:rPr>
          <w:rFonts w:hint="eastAsia" w:ascii="仿宋" w:hAnsi="仿宋" w:eastAsia="仿宋"/>
          <w:sz w:val="24"/>
          <w:szCs w:val="24"/>
        </w:rPr>
        <w:t>同等学力或跨一级学科考取的博士生，须在导师的指导下，补修1-3 门本学科硕士核心课程（具体课程参考本学科科学学位硕士研究生培养方案），所修课程只登成绩不计学分。</w:t>
      </w:r>
    </w:p>
    <w:p>
      <w:pPr>
        <w:spacing w:line="460" w:lineRule="exact"/>
        <w:ind w:firstLine="480" w:firstLineChars="200"/>
        <w:rPr>
          <w:rFonts w:ascii="仿宋" w:hAnsi="仿宋" w:eastAsia="仿宋"/>
          <w:sz w:val="24"/>
          <w:szCs w:val="24"/>
        </w:rPr>
      </w:pPr>
    </w:p>
    <w:tbl>
      <w:tblPr>
        <w:tblStyle w:val="7"/>
        <w:tblW w:w="9385"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0"/>
        <w:gridCol w:w="1327"/>
        <w:gridCol w:w="2642"/>
        <w:gridCol w:w="567"/>
        <w:gridCol w:w="422"/>
        <w:gridCol w:w="712"/>
        <w:gridCol w:w="854"/>
        <w:gridCol w:w="712"/>
        <w:gridCol w:w="702"/>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880" w:type="dxa"/>
            <w:vAlign w:val="center"/>
          </w:tcPr>
          <w:p>
            <w:pPr>
              <w:spacing w:line="46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课程</w:t>
            </w:r>
          </w:p>
          <w:p>
            <w:pPr>
              <w:spacing w:line="46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类别</w:t>
            </w:r>
          </w:p>
        </w:tc>
        <w:tc>
          <w:tcPr>
            <w:tcW w:w="1327" w:type="dxa"/>
            <w:vAlign w:val="center"/>
          </w:tcPr>
          <w:p>
            <w:pPr>
              <w:spacing w:line="46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课程编号</w:t>
            </w:r>
          </w:p>
        </w:tc>
        <w:tc>
          <w:tcPr>
            <w:tcW w:w="2642" w:type="dxa"/>
            <w:vAlign w:val="center"/>
          </w:tcPr>
          <w:p>
            <w:pPr>
              <w:spacing w:line="46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课程中文名称</w:t>
            </w:r>
          </w:p>
          <w:p>
            <w:pPr>
              <w:spacing w:line="46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（课程英文名称）</w:t>
            </w:r>
          </w:p>
        </w:tc>
        <w:tc>
          <w:tcPr>
            <w:tcW w:w="567" w:type="dxa"/>
            <w:vAlign w:val="center"/>
          </w:tcPr>
          <w:p>
            <w:pPr>
              <w:spacing w:line="46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学时</w:t>
            </w:r>
          </w:p>
        </w:tc>
        <w:tc>
          <w:tcPr>
            <w:tcW w:w="422" w:type="dxa"/>
            <w:vAlign w:val="center"/>
          </w:tcPr>
          <w:p>
            <w:pPr>
              <w:spacing w:line="46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学分</w:t>
            </w:r>
          </w:p>
        </w:tc>
        <w:tc>
          <w:tcPr>
            <w:tcW w:w="712" w:type="dxa"/>
            <w:vAlign w:val="center"/>
          </w:tcPr>
          <w:p>
            <w:pPr>
              <w:spacing w:line="46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开课学期</w:t>
            </w:r>
          </w:p>
        </w:tc>
        <w:tc>
          <w:tcPr>
            <w:tcW w:w="854" w:type="dxa"/>
            <w:vAlign w:val="center"/>
          </w:tcPr>
          <w:p>
            <w:pPr>
              <w:spacing w:line="46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开课单位</w:t>
            </w:r>
          </w:p>
        </w:tc>
        <w:tc>
          <w:tcPr>
            <w:tcW w:w="712" w:type="dxa"/>
            <w:vAlign w:val="center"/>
          </w:tcPr>
          <w:p>
            <w:pPr>
              <w:spacing w:line="46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考核方式</w:t>
            </w:r>
          </w:p>
        </w:tc>
        <w:tc>
          <w:tcPr>
            <w:tcW w:w="702" w:type="dxa"/>
            <w:vAlign w:val="center"/>
          </w:tcPr>
          <w:p>
            <w:pPr>
              <w:spacing w:line="46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培养方向</w:t>
            </w:r>
          </w:p>
        </w:tc>
        <w:tc>
          <w:tcPr>
            <w:tcW w:w="567" w:type="dxa"/>
            <w:vAlign w:val="center"/>
          </w:tcPr>
          <w:p>
            <w:pPr>
              <w:spacing w:line="46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880" w:type="dxa"/>
            <w:vMerge w:val="restart"/>
            <w:vAlign w:val="center"/>
          </w:tcPr>
          <w:p>
            <w:pPr>
              <w:spacing w:line="460" w:lineRule="exact"/>
              <w:jc w:val="center"/>
              <w:rPr>
                <w:rFonts w:ascii="仿宋" w:hAnsi="仿宋" w:eastAsia="仿宋" w:cs="宋体"/>
                <w:szCs w:val="21"/>
                <w:highlight w:val="none"/>
              </w:rPr>
            </w:pPr>
            <w:r>
              <w:rPr>
                <w:rFonts w:ascii="仿宋" w:hAnsi="仿宋" w:eastAsia="仿宋" w:cs="宋体"/>
                <w:szCs w:val="21"/>
                <w:highlight w:val="none"/>
              </w:rPr>
              <w:t>公共</w:t>
            </w:r>
          </w:p>
          <w:p>
            <w:pPr>
              <w:spacing w:line="460" w:lineRule="exact"/>
              <w:jc w:val="center"/>
              <w:rPr>
                <w:rFonts w:ascii="仿宋" w:hAnsi="仿宋" w:eastAsia="仿宋" w:cs="宋体"/>
                <w:szCs w:val="21"/>
                <w:highlight w:val="none"/>
              </w:rPr>
            </w:pPr>
            <w:r>
              <w:rPr>
                <w:rFonts w:ascii="仿宋" w:hAnsi="仿宋" w:eastAsia="仿宋" w:cs="宋体"/>
                <w:szCs w:val="21"/>
                <w:highlight w:val="none"/>
              </w:rPr>
              <w:t>学位</w:t>
            </w:r>
          </w:p>
          <w:p>
            <w:pPr>
              <w:spacing w:line="460" w:lineRule="exact"/>
              <w:jc w:val="center"/>
              <w:rPr>
                <w:rFonts w:ascii="仿宋" w:hAnsi="仿宋" w:eastAsia="仿宋" w:cs="宋体"/>
                <w:szCs w:val="21"/>
                <w:highlight w:val="none"/>
              </w:rPr>
            </w:pPr>
            <w:r>
              <w:rPr>
                <w:rFonts w:ascii="仿宋" w:hAnsi="仿宋" w:eastAsia="仿宋" w:cs="宋体"/>
                <w:szCs w:val="21"/>
                <w:highlight w:val="none"/>
              </w:rPr>
              <w:t>课</w:t>
            </w:r>
          </w:p>
        </w:tc>
        <w:tc>
          <w:tcPr>
            <w:tcW w:w="1327" w:type="dxa"/>
            <w:vAlign w:val="center"/>
          </w:tcPr>
          <w:p>
            <w:pPr>
              <w:adjustRightInd w:val="0"/>
              <w:snapToGrid w:val="0"/>
              <w:spacing w:line="240" w:lineRule="exact"/>
              <w:jc w:val="center"/>
              <w:rPr>
                <w:rFonts w:ascii="仿宋" w:hAnsi="仿宋" w:eastAsia="仿宋" w:cs="宋体"/>
                <w:color w:val="000000"/>
                <w:highlight w:val="none"/>
              </w:rPr>
            </w:pPr>
            <w:r>
              <w:rPr>
                <w:rFonts w:hint="eastAsia" w:ascii="仿宋" w:hAnsi="仿宋" w:eastAsia="仿宋" w:cs="宋体"/>
                <w:color w:val="000000"/>
                <w:highlight w:val="none"/>
              </w:rPr>
              <w:t>105590da13</w:t>
            </w:r>
          </w:p>
        </w:tc>
        <w:tc>
          <w:tcPr>
            <w:tcW w:w="2642" w:type="dxa"/>
            <w:vAlign w:val="center"/>
          </w:tcPr>
          <w:p>
            <w:pPr>
              <w:adjustRightInd w:val="0"/>
              <w:snapToGrid w:val="0"/>
              <w:spacing w:line="240" w:lineRule="exact"/>
              <w:jc w:val="center"/>
              <w:rPr>
                <w:rFonts w:hint="eastAsia" w:ascii="仿宋" w:hAnsi="仿宋" w:eastAsia="仿宋"/>
                <w:szCs w:val="21"/>
                <w:highlight w:val="none"/>
              </w:rPr>
            </w:pPr>
            <w:r>
              <w:rPr>
                <w:rFonts w:hint="eastAsia" w:ascii="仿宋" w:hAnsi="仿宋" w:eastAsia="仿宋"/>
                <w:szCs w:val="21"/>
                <w:highlight w:val="none"/>
              </w:rPr>
              <w:t>中国马克思主义与当代</w:t>
            </w:r>
          </w:p>
          <w:p>
            <w:pPr>
              <w:adjustRightInd w:val="0"/>
              <w:snapToGrid w:val="0"/>
              <w:spacing w:line="240" w:lineRule="exact"/>
              <w:jc w:val="center"/>
              <w:rPr>
                <w:rFonts w:hint="eastAsia" w:ascii="仿宋" w:hAnsi="仿宋" w:eastAsia="仿宋"/>
                <w:szCs w:val="21"/>
                <w:highlight w:val="none"/>
              </w:rPr>
            </w:pPr>
            <w:r>
              <w:rPr>
                <w:rFonts w:hint="eastAsia" w:ascii="仿宋" w:hAnsi="仿宋" w:eastAsia="仿宋"/>
                <w:szCs w:val="21"/>
                <w:highlight w:val="none"/>
              </w:rPr>
              <w:t>Chinese Marxism and the Contemporary Age</w:t>
            </w:r>
          </w:p>
        </w:tc>
        <w:tc>
          <w:tcPr>
            <w:tcW w:w="567" w:type="dxa"/>
            <w:vAlign w:val="center"/>
          </w:tcPr>
          <w:p>
            <w:pPr>
              <w:adjustRightInd w:val="0"/>
              <w:snapToGrid w:val="0"/>
              <w:spacing w:line="240" w:lineRule="exact"/>
              <w:jc w:val="center"/>
              <w:rPr>
                <w:rFonts w:ascii="仿宋" w:hAnsi="仿宋" w:eastAsia="仿宋"/>
                <w:szCs w:val="21"/>
                <w:highlight w:val="none"/>
              </w:rPr>
            </w:pPr>
            <w:r>
              <w:rPr>
                <w:rFonts w:ascii="仿宋" w:hAnsi="仿宋" w:eastAsia="仿宋"/>
                <w:szCs w:val="21"/>
                <w:highlight w:val="none"/>
              </w:rPr>
              <w:t>36</w:t>
            </w:r>
          </w:p>
        </w:tc>
        <w:tc>
          <w:tcPr>
            <w:tcW w:w="422" w:type="dxa"/>
            <w:vAlign w:val="center"/>
          </w:tcPr>
          <w:p>
            <w:pPr>
              <w:adjustRightInd w:val="0"/>
              <w:snapToGrid w:val="0"/>
              <w:spacing w:line="240" w:lineRule="exact"/>
              <w:jc w:val="center"/>
              <w:rPr>
                <w:rFonts w:ascii="仿宋" w:hAnsi="仿宋" w:eastAsia="仿宋"/>
                <w:szCs w:val="21"/>
                <w:highlight w:val="none"/>
              </w:rPr>
            </w:pPr>
            <w:r>
              <w:rPr>
                <w:rFonts w:ascii="仿宋" w:hAnsi="仿宋" w:eastAsia="仿宋"/>
                <w:szCs w:val="21"/>
                <w:highlight w:val="none"/>
              </w:rPr>
              <w:t>2</w:t>
            </w:r>
          </w:p>
        </w:tc>
        <w:tc>
          <w:tcPr>
            <w:tcW w:w="712" w:type="dxa"/>
            <w:vAlign w:val="center"/>
          </w:tcPr>
          <w:p>
            <w:pPr>
              <w:adjustRightInd w:val="0"/>
              <w:snapToGrid w:val="0"/>
              <w:spacing w:line="240" w:lineRule="exact"/>
              <w:jc w:val="center"/>
              <w:rPr>
                <w:rFonts w:ascii="仿宋" w:hAnsi="仿宋" w:eastAsia="仿宋"/>
                <w:szCs w:val="21"/>
                <w:highlight w:val="none"/>
              </w:rPr>
            </w:pPr>
            <w:r>
              <w:rPr>
                <w:rFonts w:ascii="仿宋" w:hAnsi="仿宋" w:eastAsia="仿宋"/>
                <w:szCs w:val="21"/>
                <w:highlight w:val="none"/>
              </w:rPr>
              <w:t>1</w:t>
            </w:r>
          </w:p>
        </w:tc>
        <w:tc>
          <w:tcPr>
            <w:tcW w:w="854"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马克思主义学院</w:t>
            </w:r>
          </w:p>
        </w:tc>
        <w:tc>
          <w:tcPr>
            <w:tcW w:w="71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ascii="仿宋" w:hAnsi="仿宋" w:eastAsia="仿宋"/>
                <w:color w:val="000000" w:themeColor="text1"/>
                <w:szCs w:val="21"/>
                <w:highlight w:val="none"/>
                <w14:textFill>
                  <w14:solidFill>
                    <w14:schemeClr w14:val="tx1"/>
                  </w14:solidFill>
                </w14:textFill>
              </w:rPr>
              <w:t>考试</w:t>
            </w:r>
          </w:p>
        </w:tc>
        <w:tc>
          <w:tcPr>
            <w:tcW w:w="70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各方向必选</w:t>
            </w:r>
          </w:p>
        </w:tc>
        <w:tc>
          <w:tcPr>
            <w:tcW w:w="567" w:type="dxa"/>
            <w:vAlign w:val="center"/>
          </w:tcPr>
          <w:p>
            <w:pPr>
              <w:adjustRightInd w:val="0"/>
              <w:snapToGrid w:val="0"/>
              <w:spacing w:line="240" w:lineRule="exact"/>
              <w:ind w:firstLine="233" w:firstLineChars="111"/>
              <w:jc w:val="center"/>
              <w:rPr>
                <w:rFonts w:ascii="仿宋" w:hAnsi="仿宋" w:eastAsia="仿宋"/>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80" w:type="dxa"/>
            <w:vMerge w:val="continue"/>
            <w:vAlign w:val="center"/>
          </w:tcPr>
          <w:p>
            <w:pPr>
              <w:spacing w:line="460" w:lineRule="exact"/>
              <w:ind w:firstLine="480"/>
              <w:jc w:val="center"/>
              <w:rPr>
                <w:rFonts w:ascii="仿宋" w:hAnsi="仿宋" w:eastAsia="仿宋" w:cs="宋体"/>
                <w:szCs w:val="21"/>
                <w:highlight w:val="none"/>
              </w:rPr>
            </w:pPr>
          </w:p>
        </w:tc>
        <w:tc>
          <w:tcPr>
            <w:tcW w:w="1327" w:type="dxa"/>
            <w:vAlign w:val="center"/>
          </w:tcPr>
          <w:p>
            <w:pPr>
              <w:adjustRightInd w:val="0"/>
              <w:snapToGrid w:val="0"/>
              <w:spacing w:line="240" w:lineRule="exact"/>
              <w:jc w:val="center"/>
              <w:rPr>
                <w:rFonts w:ascii="仿宋" w:hAnsi="仿宋" w:eastAsia="仿宋" w:cs="宋体"/>
                <w:color w:val="000000"/>
                <w:highlight w:val="none"/>
              </w:rPr>
            </w:pPr>
            <w:r>
              <w:rPr>
                <w:rFonts w:hint="eastAsia" w:ascii="仿宋" w:hAnsi="仿宋" w:eastAsia="仿宋" w:cs="宋体"/>
                <w:color w:val="000000"/>
                <w:highlight w:val="none"/>
              </w:rPr>
              <w:t>105590da17</w:t>
            </w:r>
          </w:p>
        </w:tc>
        <w:tc>
          <w:tcPr>
            <w:tcW w:w="2642" w:type="dxa"/>
            <w:vAlign w:val="center"/>
          </w:tcPr>
          <w:p>
            <w:pPr>
              <w:adjustRightInd w:val="0"/>
              <w:snapToGrid w:val="0"/>
              <w:spacing w:line="240" w:lineRule="exact"/>
              <w:jc w:val="center"/>
              <w:rPr>
                <w:rFonts w:ascii="仿宋" w:hAnsi="仿宋" w:eastAsia="仿宋"/>
                <w:szCs w:val="21"/>
                <w:highlight w:val="none"/>
              </w:rPr>
            </w:pPr>
            <w:r>
              <w:rPr>
                <w:rFonts w:ascii="仿宋" w:hAnsi="仿宋" w:eastAsia="仿宋"/>
                <w:szCs w:val="21"/>
                <w:highlight w:val="none"/>
              </w:rPr>
              <w:t>第一外语</w:t>
            </w:r>
            <w:r>
              <w:rPr>
                <w:rFonts w:hint="eastAsia" w:ascii="仿宋" w:hAnsi="仿宋" w:eastAsia="仿宋"/>
                <w:szCs w:val="21"/>
                <w:highlight w:val="none"/>
              </w:rPr>
              <w:t>（英语）</w:t>
            </w:r>
          </w:p>
          <w:p>
            <w:pPr>
              <w:adjustRightInd w:val="0"/>
              <w:snapToGrid w:val="0"/>
              <w:spacing w:line="240" w:lineRule="exact"/>
              <w:jc w:val="center"/>
              <w:rPr>
                <w:rFonts w:ascii="仿宋" w:hAnsi="仿宋" w:eastAsia="仿宋"/>
                <w:szCs w:val="21"/>
                <w:highlight w:val="none"/>
              </w:rPr>
            </w:pPr>
            <w:r>
              <w:rPr>
                <w:rFonts w:ascii="仿宋" w:hAnsi="仿宋" w:eastAsia="仿宋"/>
                <w:szCs w:val="21"/>
                <w:highlight w:val="none"/>
              </w:rPr>
              <w:t>First Foreign Language</w:t>
            </w:r>
            <w:r>
              <w:rPr>
                <w:rFonts w:hint="eastAsia" w:ascii="仿宋" w:hAnsi="仿宋" w:eastAsia="仿宋"/>
                <w:szCs w:val="21"/>
                <w:highlight w:val="none"/>
              </w:rPr>
              <w:t xml:space="preserve"> </w:t>
            </w:r>
            <w:r>
              <w:rPr>
                <w:rFonts w:hint="default" w:ascii="仿宋" w:hAnsi="仿宋" w:eastAsia="仿宋"/>
                <w:szCs w:val="21"/>
                <w:highlight w:val="none"/>
              </w:rPr>
              <w:t>(</w:t>
            </w:r>
            <w:r>
              <w:rPr>
                <w:rFonts w:ascii="仿宋" w:hAnsi="仿宋" w:eastAsia="仿宋"/>
                <w:szCs w:val="21"/>
                <w:highlight w:val="none"/>
              </w:rPr>
              <w:t>English)</w:t>
            </w:r>
          </w:p>
        </w:tc>
        <w:tc>
          <w:tcPr>
            <w:tcW w:w="567" w:type="dxa"/>
            <w:vAlign w:val="center"/>
          </w:tcPr>
          <w:p>
            <w:pPr>
              <w:adjustRightInd w:val="0"/>
              <w:snapToGrid w:val="0"/>
              <w:spacing w:line="240" w:lineRule="exact"/>
              <w:jc w:val="center"/>
              <w:rPr>
                <w:rFonts w:ascii="仿宋" w:hAnsi="仿宋" w:eastAsia="仿宋"/>
                <w:szCs w:val="21"/>
                <w:highlight w:val="none"/>
              </w:rPr>
            </w:pPr>
            <w:r>
              <w:rPr>
                <w:rFonts w:ascii="仿宋" w:hAnsi="仿宋" w:eastAsia="仿宋"/>
                <w:szCs w:val="21"/>
                <w:highlight w:val="none"/>
              </w:rPr>
              <w:t>36</w:t>
            </w:r>
          </w:p>
        </w:tc>
        <w:tc>
          <w:tcPr>
            <w:tcW w:w="422" w:type="dxa"/>
            <w:vAlign w:val="center"/>
          </w:tcPr>
          <w:p>
            <w:pPr>
              <w:adjustRightInd w:val="0"/>
              <w:snapToGrid w:val="0"/>
              <w:spacing w:line="240" w:lineRule="exact"/>
              <w:jc w:val="center"/>
              <w:rPr>
                <w:rFonts w:ascii="仿宋" w:hAnsi="仿宋" w:eastAsia="仿宋"/>
                <w:szCs w:val="21"/>
                <w:highlight w:val="none"/>
              </w:rPr>
            </w:pPr>
            <w:r>
              <w:rPr>
                <w:rFonts w:ascii="仿宋" w:hAnsi="仿宋" w:eastAsia="仿宋"/>
                <w:szCs w:val="21"/>
                <w:highlight w:val="none"/>
              </w:rPr>
              <w:t>2</w:t>
            </w:r>
          </w:p>
        </w:tc>
        <w:tc>
          <w:tcPr>
            <w:tcW w:w="712" w:type="dxa"/>
            <w:vAlign w:val="center"/>
          </w:tcPr>
          <w:p>
            <w:pPr>
              <w:adjustRightInd w:val="0"/>
              <w:snapToGrid w:val="0"/>
              <w:spacing w:line="240" w:lineRule="exact"/>
              <w:jc w:val="center"/>
              <w:rPr>
                <w:rFonts w:ascii="仿宋" w:hAnsi="仿宋" w:eastAsia="仿宋"/>
                <w:szCs w:val="21"/>
                <w:highlight w:val="none"/>
              </w:rPr>
            </w:pPr>
            <w:r>
              <w:rPr>
                <w:rFonts w:ascii="仿宋" w:hAnsi="仿宋" w:eastAsia="仿宋"/>
                <w:szCs w:val="21"/>
                <w:highlight w:val="none"/>
              </w:rPr>
              <w:t>1</w:t>
            </w:r>
          </w:p>
        </w:tc>
        <w:tc>
          <w:tcPr>
            <w:tcW w:w="854" w:type="dxa"/>
            <w:vAlign w:val="center"/>
          </w:tcPr>
          <w:p>
            <w:pPr>
              <w:adjustRightInd w:val="0"/>
              <w:snapToGrid w:val="0"/>
              <w:spacing w:line="240" w:lineRule="exact"/>
              <w:jc w:val="center"/>
              <w:rPr>
                <w:rFonts w:ascii="仿宋" w:hAnsi="仿宋" w:eastAsia="仿宋"/>
                <w:szCs w:val="21"/>
                <w:highlight w:val="none"/>
              </w:rPr>
            </w:pPr>
            <w:r>
              <w:rPr>
                <w:rFonts w:ascii="仿宋" w:hAnsi="仿宋" w:eastAsia="仿宋"/>
                <w:szCs w:val="21"/>
                <w:highlight w:val="none"/>
              </w:rPr>
              <w:t>外国语学院</w:t>
            </w:r>
          </w:p>
        </w:tc>
        <w:tc>
          <w:tcPr>
            <w:tcW w:w="71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ascii="仿宋" w:hAnsi="仿宋" w:eastAsia="仿宋"/>
                <w:color w:val="000000" w:themeColor="text1"/>
                <w:szCs w:val="21"/>
                <w:highlight w:val="none"/>
                <w14:textFill>
                  <w14:solidFill>
                    <w14:schemeClr w14:val="tx1"/>
                  </w14:solidFill>
                </w14:textFill>
              </w:rPr>
              <w:t>考试</w:t>
            </w:r>
          </w:p>
        </w:tc>
        <w:tc>
          <w:tcPr>
            <w:tcW w:w="70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各方向必选</w:t>
            </w:r>
          </w:p>
        </w:tc>
        <w:tc>
          <w:tcPr>
            <w:tcW w:w="567" w:type="dxa"/>
            <w:vAlign w:val="center"/>
          </w:tcPr>
          <w:p>
            <w:pPr>
              <w:adjustRightInd w:val="0"/>
              <w:snapToGrid w:val="0"/>
              <w:spacing w:line="240" w:lineRule="exact"/>
              <w:ind w:firstLine="233" w:firstLineChars="111"/>
              <w:jc w:val="center"/>
              <w:rPr>
                <w:rFonts w:ascii="仿宋" w:hAnsi="仿宋" w:eastAsia="仿宋"/>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80" w:type="dxa"/>
            <w:vMerge w:val="continue"/>
            <w:vAlign w:val="center"/>
          </w:tcPr>
          <w:p>
            <w:pPr>
              <w:spacing w:line="460" w:lineRule="exact"/>
              <w:ind w:firstLine="480"/>
              <w:jc w:val="center"/>
              <w:rPr>
                <w:rFonts w:ascii="仿宋" w:hAnsi="仿宋" w:eastAsia="仿宋" w:cs="宋体"/>
                <w:szCs w:val="21"/>
                <w:highlight w:val="none"/>
              </w:rPr>
            </w:pPr>
          </w:p>
        </w:tc>
        <w:tc>
          <w:tcPr>
            <w:tcW w:w="1327" w:type="dxa"/>
            <w:vAlign w:val="center"/>
          </w:tcPr>
          <w:p>
            <w:pPr>
              <w:adjustRightInd w:val="0"/>
              <w:snapToGrid w:val="0"/>
              <w:spacing w:line="240" w:lineRule="exact"/>
              <w:jc w:val="center"/>
              <w:rPr>
                <w:rFonts w:ascii="仿宋" w:hAnsi="仿宋" w:eastAsia="仿宋" w:cs="宋体"/>
                <w:color w:val="000000"/>
                <w:highlight w:val="none"/>
              </w:rPr>
            </w:pPr>
            <w:r>
              <w:rPr>
                <w:rFonts w:hint="eastAsia" w:ascii="仿宋" w:hAnsi="仿宋" w:eastAsia="仿宋" w:cs="宋体"/>
                <w:color w:val="000000"/>
                <w:highlight w:val="none"/>
              </w:rPr>
              <w:t>105590da18</w:t>
            </w:r>
          </w:p>
        </w:tc>
        <w:tc>
          <w:tcPr>
            <w:tcW w:w="264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教学实践</w:t>
            </w:r>
          </w:p>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ascii="仿宋" w:hAnsi="仿宋" w:eastAsia="仿宋"/>
                <w:color w:val="000000" w:themeColor="text1"/>
                <w:szCs w:val="21"/>
                <w:highlight w:val="none"/>
                <w14:textFill>
                  <w14:solidFill>
                    <w14:schemeClr w14:val="tx1"/>
                  </w14:solidFill>
                </w14:textFill>
              </w:rPr>
              <w:t>Teaching Practice</w:t>
            </w:r>
          </w:p>
        </w:tc>
        <w:tc>
          <w:tcPr>
            <w:tcW w:w="567"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18</w:t>
            </w:r>
          </w:p>
        </w:tc>
        <w:tc>
          <w:tcPr>
            <w:tcW w:w="42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1</w:t>
            </w:r>
          </w:p>
        </w:tc>
        <w:tc>
          <w:tcPr>
            <w:tcW w:w="71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3-6</w:t>
            </w:r>
          </w:p>
        </w:tc>
        <w:tc>
          <w:tcPr>
            <w:tcW w:w="854"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本专业点</w:t>
            </w:r>
          </w:p>
        </w:tc>
        <w:tc>
          <w:tcPr>
            <w:tcW w:w="71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考查</w:t>
            </w:r>
          </w:p>
        </w:tc>
        <w:tc>
          <w:tcPr>
            <w:tcW w:w="70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各方向必选</w:t>
            </w:r>
          </w:p>
        </w:tc>
        <w:tc>
          <w:tcPr>
            <w:tcW w:w="567"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880" w:type="dxa"/>
            <w:vMerge w:val="restart"/>
            <w:vAlign w:val="center"/>
          </w:tcPr>
          <w:p>
            <w:pPr>
              <w:spacing w:line="460" w:lineRule="exact"/>
              <w:jc w:val="center"/>
              <w:rPr>
                <w:rFonts w:ascii="仿宋" w:hAnsi="仿宋" w:eastAsia="仿宋" w:cs="宋体"/>
                <w:szCs w:val="21"/>
                <w:highlight w:val="none"/>
              </w:rPr>
            </w:pPr>
            <w:r>
              <w:rPr>
                <w:rFonts w:hint="eastAsia" w:ascii="仿宋" w:hAnsi="仿宋" w:eastAsia="仿宋" w:cs="宋体"/>
                <w:szCs w:val="21"/>
                <w:highlight w:val="none"/>
              </w:rPr>
              <w:t>专业学位课</w:t>
            </w:r>
          </w:p>
        </w:tc>
        <w:tc>
          <w:tcPr>
            <w:tcW w:w="1327" w:type="dxa"/>
            <w:vAlign w:val="center"/>
          </w:tcPr>
          <w:p>
            <w:pPr>
              <w:adjustRightInd w:val="0"/>
              <w:snapToGrid w:val="0"/>
              <w:spacing w:line="240" w:lineRule="exact"/>
              <w:jc w:val="center"/>
              <w:rPr>
                <w:rFonts w:ascii="仿宋" w:hAnsi="仿宋" w:eastAsia="仿宋" w:cs="宋体"/>
                <w:color w:val="000000"/>
                <w:highlight w:val="none"/>
              </w:rPr>
            </w:pPr>
            <w:r>
              <w:rPr>
                <w:rFonts w:hint="eastAsia" w:ascii="仿宋" w:hAnsi="仿宋" w:eastAsia="仿宋" w:cs="宋体"/>
                <w:color w:val="000000"/>
                <w:highlight w:val="none"/>
              </w:rPr>
              <w:t>050300db09</w:t>
            </w:r>
          </w:p>
        </w:tc>
        <w:tc>
          <w:tcPr>
            <w:tcW w:w="264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新闻传播学经典文献选读</w:t>
            </w:r>
          </w:p>
          <w:p>
            <w:pPr>
              <w:adjustRightInd w:val="0"/>
              <w:snapToGrid w:val="0"/>
              <w:spacing w:line="240" w:lineRule="exact"/>
              <w:jc w:val="center"/>
              <w:rPr>
                <w:rFonts w:ascii="仿宋" w:hAnsi="仿宋" w:eastAsia="仿宋"/>
                <w:szCs w:val="21"/>
                <w:highlight w:val="none"/>
              </w:rPr>
            </w:pPr>
            <w:r>
              <w:rPr>
                <w:rFonts w:hint="default" w:ascii="仿宋" w:hAnsi="仿宋" w:eastAsia="仿宋"/>
                <w:szCs w:val="21"/>
                <w:highlight w:val="none"/>
              </w:rPr>
              <w:t xml:space="preserve">Selections from </w:t>
            </w:r>
            <w:r>
              <w:rPr>
                <w:rFonts w:hint="eastAsia" w:ascii="仿宋" w:hAnsi="仿宋" w:eastAsia="仿宋"/>
                <w:szCs w:val="21"/>
                <w:highlight w:val="none"/>
              </w:rPr>
              <w:t>Classic</w:t>
            </w:r>
            <w:r>
              <w:rPr>
                <w:rFonts w:hint="default" w:ascii="仿宋" w:hAnsi="仿宋" w:eastAsia="仿宋"/>
                <w:szCs w:val="21"/>
                <w:highlight w:val="none"/>
              </w:rPr>
              <w:t>s</w:t>
            </w:r>
            <w:r>
              <w:rPr>
                <w:rFonts w:hint="eastAsia" w:ascii="仿宋" w:hAnsi="仿宋" w:eastAsia="仿宋"/>
                <w:szCs w:val="21"/>
                <w:highlight w:val="none"/>
              </w:rPr>
              <w:t xml:space="preserve"> of</w:t>
            </w:r>
            <w:r>
              <w:rPr>
                <w:rFonts w:hint="default" w:ascii="仿宋" w:hAnsi="仿宋" w:eastAsia="仿宋"/>
                <w:szCs w:val="21"/>
                <w:highlight w:val="none"/>
                <w:lang w:eastAsia="zh-Hans"/>
              </w:rPr>
              <w:t xml:space="preserve"> </w:t>
            </w:r>
            <w:r>
              <w:rPr>
                <w:rFonts w:hint="eastAsia" w:ascii="仿宋" w:hAnsi="仿宋" w:eastAsia="仿宋"/>
                <w:szCs w:val="21"/>
                <w:highlight w:val="none"/>
                <w:lang w:val="en-US" w:eastAsia="zh-Hans"/>
              </w:rPr>
              <w:t>Journalism</w:t>
            </w:r>
            <w:r>
              <w:rPr>
                <w:rFonts w:hint="default" w:ascii="仿宋" w:hAnsi="仿宋" w:eastAsia="仿宋"/>
                <w:szCs w:val="21"/>
                <w:highlight w:val="none"/>
                <w:lang w:eastAsia="zh-Hans"/>
              </w:rPr>
              <w:t xml:space="preserve"> </w:t>
            </w:r>
            <w:r>
              <w:rPr>
                <w:rFonts w:hint="eastAsia" w:ascii="仿宋" w:hAnsi="仿宋" w:eastAsia="仿宋"/>
                <w:szCs w:val="21"/>
                <w:highlight w:val="none"/>
                <w:lang w:val="en-US" w:eastAsia="zh-Hans"/>
              </w:rPr>
              <w:t>and</w:t>
            </w:r>
            <w:r>
              <w:rPr>
                <w:rFonts w:hint="default" w:ascii="仿宋" w:hAnsi="仿宋" w:eastAsia="仿宋"/>
                <w:szCs w:val="21"/>
                <w:highlight w:val="none"/>
                <w:lang w:eastAsia="zh-Hans"/>
              </w:rPr>
              <w:t xml:space="preserve"> Communication</w:t>
            </w:r>
          </w:p>
        </w:tc>
        <w:tc>
          <w:tcPr>
            <w:tcW w:w="567"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36</w:t>
            </w:r>
          </w:p>
        </w:tc>
        <w:tc>
          <w:tcPr>
            <w:tcW w:w="42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2</w:t>
            </w:r>
          </w:p>
        </w:tc>
        <w:tc>
          <w:tcPr>
            <w:tcW w:w="71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1</w:t>
            </w:r>
          </w:p>
        </w:tc>
        <w:tc>
          <w:tcPr>
            <w:tcW w:w="854"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本专业点</w:t>
            </w:r>
          </w:p>
        </w:tc>
        <w:tc>
          <w:tcPr>
            <w:tcW w:w="712" w:type="dxa"/>
            <w:vAlign w:val="center"/>
          </w:tcPr>
          <w:p>
            <w:pPr>
              <w:adjustRightInd w:val="0"/>
              <w:snapToGrid w:val="0"/>
              <w:spacing w:line="240" w:lineRule="exact"/>
              <w:jc w:val="center"/>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考试或考查</w:t>
            </w:r>
          </w:p>
        </w:tc>
        <w:tc>
          <w:tcPr>
            <w:tcW w:w="70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各方向必选</w:t>
            </w:r>
          </w:p>
        </w:tc>
        <w:tc>
          <w:tcPr>
            <w:tcW w:w="567"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880" w:type="dxa"/>
            <w:vMerge w:val="continue"/>
            <w:vAlign w:val="center"/>
          </w:tcPr>
          <w:p>
            <w:pPr>
              <w:spacing w:line="460" w:lineRule="exact"/>
              <w:jc w:val="center"/>
              <w:rPr>
                <w:rFonts w:ascii="仿宋" w:hAnsi="仿宋" w:eastAsia="仿宋" w:cs="宋体"/>
                <w:szCs w:val="21"/>
                <w:highlight w:val="none"/>
              </w:rPr>
            </w:pPr>
          </w:p>
        </w:tc>
        <w:tc>
          <w:tcPr>
            <w:tcW w:w="1327" w:type="dxa"/>
            <w:vAlign w:val="center"/>
          </w:tcPr>
          <w:p>
            <w:pPr>
              <w:adjustRightInd w:val="0"/>
              <w:snapToGrid w:val="0"/>
              <w:spacing w:line="240" w:lineRule="exact"/>
              <w:jc w:val="center"/>
              <w:rPr>
                <w:rFonts w:ascii="仿宋" w:hAnsi="仿宋" w:eastAsia="仿宋" w:cs="宋体"/>
                <w:color w:val="000000"/>
                <w:highlight w:val="none"/>
              </w:rPr>
            </w:pPr>
            <w:r>
              <w:rPr>
                <w:rFonts w:hint="eastAsia" w:ascii="仿宋" w:hAnsi="仿宋" w:eastAsia="仿宋" w:cs="宋体"/>
                <w:color w:val="000000"/>
                <w:highlight w:val="none"/>
              </w:rPr>
              <w:t>050300mb05</w:t>
            </w:r>
          </w:p>
        </w:tc>
        <w:tc>
          <w:tcPr>
            <w:tcW w:w="2642" w:type="dxa"/>
            <w:vAlign w:val="center"/>
          </w:tcPr>
          <w:p>
            <w:pPr>
              <w:spacing w:line="240" w:lineRule="exact"/>
              <w:jc w:val="center"/>
              <w:rPr>
                <w:rFonts w:ascii="仿宋" w:hAnsi="仿宋" w:eastAsia="仿宋"/>
                <w:szCs w:val="21"/>
                <w:highlight w:val="none"/>
              </w:rPr>
            </w:pPr>
            <w:r>
              <w:rPr>
                <w:rFonts w:hint="eastAsia" w:ascii="仿宋" w:hAnsi="仿宋" w:eastAsia="仿宋"/>
                <w:szCs w:val="21"/>
                <w:highlight w:val="none"/>
              </w:rPr>
              <w:t>量化研究方法</w:t>
            </w:r>
            <w:r>
              <w:rPr>
                <w:rFonts w:hint="eastAsia" w:ascii="仿宋" w:hAnsi="仿宋" w:eastAsia="仿宋" w:cs="宋体"/>
                <w:color w:val="000000"/>
                <w:highlight w:val="none"/>
              </w:rPr>
              <w:t>Quantitative Research Method</w:t>
            </w:r>
          </w:p>
        </w:tc>
        <w:tc>
          <w:tcPr>
            <w:tcW w:w="567"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36</w:t>
            </w:r>
          </w:p>
        </w:tc>
        <w:tc>
          <w:tcPr>
            <w:tcW w:w="42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2</w:t>
            </w:r>
          </w:p>
        </w:tc>
        <w:tc>
          <w:tcPr>
            <w:tcW w:w="712" w:type="dxa"/>
            <w:vAlign w:val="center"/>
          </w:tcPr>
          <w:p>
            <w:pPr>
              <w:spacing w:line="240" w:lineRule="exact"/>
              <w:jc w:val="center"/>
              <w:rPr>
                <w:rFonts w:ascii="仿宋" w:hAnsi="仿宋" w:eastAsia="仿宋"/>
                <w:szCs w:val="21"/>
                <w:highlight w:val="none"/>
              </w:rPr>
            </w:pPr>
            <w:r>
              <w:rPr>
                <w:rFonts w:hint="eastAsia" w:ascii="仿宋" w:hAnsi="仿宋" w:eastAsia="仿宋"/>
                <w:szCs w:val="21"/>
                <w:highlight w:val="none"/>
              </w:rPr>
              <w:t>1</w:t>
            </w:r>
          </w:p>
        </w:tc>
        <w:tc>
          <w:tcPr>
            <w:tcW w:w="854"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本专业点</w:t>
            </w:r>
          </w:p>
        </w:tc>
        <w:tc>
          <w:tcPr>
            <w:tcW w:w="71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ascii="仿宋" w:hAnsi="仿宋" w:eastAsia="仿宋"/>
                <w:color w:val="000000" w:themeColor="text1"/>
                <w:szCs w:val="21"/>
                <w:highlight w:val="none"/>
                <w14:textFill>
                  <w14:solidFill>
                    <w14:schemeClr w14:val="tx1"/>
                  </w14:solidFill>
                </w14:textFill>
              </w:rPr>
              <w:t>考试</w:t>
            </w:r>
            <w:r>
              <w:rPr>
                <w:rFonts w:hint="eastAsia" w:ascii="仿宋" w:hAnsi="仿宋" w:eastAsia="仿宋"/>
                <w:color w:val="000000" w:themeColor="text1"/>
                <w:szCs w:val="21"/>
                <w:highlight w:val="none"/>
                <w14:textFill>
                  <w14:solidFill>
                    <w14:schemeClr w14:val="tx1"/>
                  </w14:solidFill>
                </w14:textFill>
              </w:rPr>
              <w:t>或考查</w:t>
            </w:r>
          </w:p>
        </w:tc>
        <w:tc>
          <w:tcPr>
            <w:tcW w:w="70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各方向必选</w:t>
            </w:r>
          </w:p>
        </w:tc>
        <w:tc>
          <w:tcPr>
            <w:tcW w:w="567"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880" w:type="dxa"/>
            <w:vMerge w:val="continue"/>
            <w:vAlign w:val="center"/>
          </w:tcPr>
          <w:p>
            <w:pPr>
              <w:spacing w:line="460" w:lineRule="exact"/>
              <w:jc w:val="center"/>
              <w:rPr>
                <w:rFonts w:ascii="仿宋" w:hAnsi="仿宋" w:eastAsia="仿宋" w:cs="宋体"/>
                <w:szCs w:val="21"/>
                <w:highlight w:val="none"/>
              </w:rPr>
            </w:pPr>
          </w:p>
        </w:tc>
        <w:tc>
          <w:tcPr>
            <w:tcW w:w="1327" w:type="dxa"/>
            <w:vAlign w:val="center"/>
          </w:tcPr>
          <w:p>
            <w:pPr>
              <w:adjustRightInd w:val="0"/>
              <w:snapToGrid w:val="0"/>
              <w:spacing w:line="240" w:lineRule="exact"/>
              <w:jc w:val="center"/>
              <w:rPr>
                <w:rFonts w:ascii="仿宋" w:hAnsi="仿宋" w:eastAsia="仿宋" w:cs="宋体"/>
                <w:color w:val="000000"/>
                <w:highlight w:val="none"/>
              </w:rPr>
            </w:pPr>
            <w:r>
              <w:rPr>
                <w:rFonts w:hint="eastAsia" w:ascii="仿宋" w:hAnsi="仿宋" w:eastAsia="仿宋" w:cs="宋体"/>
                <w:color w:val="000000"/>
                <w:highlight w:val="none"/>
              </w:rPr>
              <w:t>050300mb06</w:t>
            </w:r>
          </w:p>
        </w:tc>
        <w:tc>
          <w:tcPr>
            <w:tcW w:w="2642" w:type="dxa"/>
            <w:vAlign w:val="center"/>
          </w:tcPr>
          <w:p>
            <w:pPr>
              <w:spacing w:line="240" w:lineRule="exact"/>
              <w:jc w:val="center"/>
              <w:rPr>
                <w:rFonts w:ascii="仿宋" w:hAnsi="仿宋" w:eastAsia="仿宋"/>
                <w:szCs w:val="21"/>
                <w:highlight w:val="none"/>
              </w:rPr>
            </w:pPr>
            <w:r>
              <w:rPr>
                <w:rFonts w:hint="eastAsia" w:ascii="仿宋" w:hAnsi="仿宋" w:eastAsia="仿宋"/>
                <w:szCs w:val="21"/>
                <w:highlight w:val="none"/>
              </w:rPr>
              <w:t>质化研究方法</w:t>
            </w:r>
          </w:p>
          <w:p>
            <w:pPr>
              <w:spacing w:line="240" w:lineRule="exact"/>
              <w:jc w:val="center"/>
              <w:rPr>
                <w:rFonts w:ascii="仿宋" w:hAnsi="仿宋" w:eastAsia="仿宋"/>
                <w:szCs w:val="21"/>
                <w:highlight w:val="none"/>
              </w:rPr>
            </w:pPr>
            <w:r>
              <w:rPr>
                <w:rFonts w:hint="eastAsia" w:ascii="仿宋" w:hAnsi="仿宋" w:eastAsia="仿宋" w:cs="宋体"/>
                <w:color w:val="000000"/>
                <w:highlight w:val="none"/>
              </w:rPr>
              <w:t>Qualitative Research Method</w:t>
            </w:r>
          </w:p>
        </w:tc>
        <w:tc>
          <w:tcPr>
            <w:tcW w:w="567"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36</w:t>
            </w:r>
          </w:p>
        </w:tc>
        <w:tc>
          <w:tcPr>
            <w:tcW w:w="42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2</w:t>
            </w:r>
          </w:p>
        </w:tc>
        <w:tc>
          <w:tcPr>
            <w:tcW w:w="712" w:type="dxa"/>
            <w:vAlign w:val="center"/>
          </w:tcPr>
          <w:p>
            <w:pPr>
              <w:spacing w:line="240" w:lineRule="exact"/>
              <w:jc w:val="center"/>
              <w:rPr>
                <w:rFonts w:ascii="仿宋" w:hAnsi="仿宋" w:eastAsia="仿宋"/>
                <w:szCs w:val="21"/>
                <w:highlight w:val="none"/>
              </w:rPr>
            </w:pPr>
            <w:r>
              <w:rPr>
                <w:rFonts w:hint="eastAsia" w:ascii="仿宋" w:hAnsi="仿宋" w:eastAsia="仿宋"/>
                <w:szCs w:val="21"/>
                <w:highlight w:val="none"/>
              </w:rPr>
              <w:t>3</w:t>
            </w:r>
          </w:p>
        </w:tc>
        <w:tc>
          <w:tcPr>
            <w:tcW w:w="854"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本专业点</w:t>
            </w:r>
          </w:p>
        </w:tc>
        <w:tc>
          <w:tcPr>
            <w:tcW w:w="71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ascii="仿宋" w:hAnsi="仿宋" w:eastAsia="仿宋"/>
                <w:color w:val="000000" w:themeColor="text1"/>
                <w:szCs w:val="21"/>
                <w:highlight w:val="none"/>
                <w14:textFill>
                  <w14:solidFill>
                    <w14:schemeClr w14:val="tx1"/>
                  </w14:solidFill>
                </w14:textFill>
              </w:rPr>
              <w:t>考试</w:t>
            </w:r>
            <w:r>
              <w:rPr>
                <w:rFonts w:hint="eastAsia" w:ascii="仿宋" w:hAnsi="仿宋" w:eastAsia="仿宋"/>
                <w:color w:val="000000" w:themeColor="text1"/>
                <w:szCs w:val="21"/>
                <w:highlight w:val="none"/>
                <w14:textFill>
                  <w14:solidFill>
                    <w14:schemeClr w14:val="tx1"/>
                  </w14:solidFill>
                </w14:textFill>
              </w:rPr>
              <w:t>或考查</w:t>
            </w:r>
          </w:p>
        </w:tc>
        <w:tc>
          <w:tcPr>
            <w:tcW w:w="70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各方向必选</w:t>
            </w:r>
          </w:p>
        </w:tc>
        <w:tc>
          <w:tcPr>
            <w:tcW w:w="567"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80" w:type="dxa"/>
            <w:vMerge w:val="restart"/>
            <w:vAlign w:val="center"/>
          </w:tcPr>
          <w:p>
            <w:pPr>
              <w:spacing w:line="460" w:lineRule="exact"/>
              <w:jc w:val="center"/>
              <w:rPr>
                <w:rFonts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非学位课程</w:t>
            </w:r>
          </w:p>
        </w:tc>
        <w:tc>
          <w:tcPr>
            <w:tcW w:w="1327" w:type="dxa"/>
            <w:vAlign w:val="center"/>
          </w:tcPr>
          <w:p>
            <w:pPr>
              <w:adjustRightInd w:val="0"/>
              <w:snapToGrid w:val="0"/>
              <w:spacing w:line="240" w:lineRule="exact"/>
              <w:jc w:val="center"/>
              <w:rPr>
                <w:rFonts w:ascii="仿宋" w:hAnsi="仿宋" w:eastAsia="仿宋" w:cs="宋体"/>
                <w:color w:val="000000"/>
                <w:highlight w:val="none"/>
              </w:rPr>
            </w:pPr>
            <w:r>
              <w:rPr>
                <w:rFonts w:hint="eastAsia" w:ascii="仿宋" w:hAnsi="仿宋" w:eastAsia="仿宋" w:cs="宋体"/>
                <w:color w:val="000000"/>
                <w:highlight w:val="none"/>
              </w:rPr>
              <w:t>050301dd01</w:t>
            </w:r>
          </w:p>
        </w:tc>
        <w:tc>
          <w:tcPr>
            <w:tcW w:w="264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学科前沿讲座</w:t>
            </w:r>
          </w:p>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s="宋体"/>
                <w:szCs w:val="21"/>
                <w:highlight w:val="none"/>
              </w:rPr>
              <w:t>Lectures on the Academic Frontiers</w:t>
            </w:r>
          </w:p>
        </w:tc>
        <w:tc>
          <w:tcPr>
            <w:tcW w:w="567"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50</w:t>
            </w:r>
          </w:p>
        </w:tc>
        <w:tc>
          <w:tcPr>
            <w:tcW w:w="42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1</w:t>
            </w:r>
          </w:p>
        </w:tc>
        <w:tc>
          <w:tcPr>
            <w:tcW w:w="71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1-3</w:t>
            </w:r>
          </w:p>
        </w:tc>
        <w:tc>
          <w:tcPr>
            <w:tcW w:w="854"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本专业点</w:t>
            </w:r>
          </w:p>
        </w:tc>
        <w:tc>
          <w:tcPr>
            <w:tcW w:w="71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考查</w:t>
            </w:r>
          </w:p>
        </w:tc>
        <w:tc>
          <w:tcPr>
            <w:tcW w:w="70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各方向必选</w:t>
            </w:r>
          </w:p>
        </w:tc>
        <w:tc>
          <w:tcPr>
            <w:tcW w:w="567" w:type="dxa"/>
            <w:vAlign w:val="center"/>
          </w:tcPr>
          <w:p>
            <w:pPr>
              <w:adjustRightInd w:val="0"/>
              <w:snapToGrid w:val="0"/>
              <w:spacing w:line="240" w:lineRule="exact"/>
              <w:rPr>
                <w:rFonts w:ascii="仿宋" w:hAnsi="仿宋" w:eastAsia="仿宋"/>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80" w:type="dxa"/>
            <w:vMerge w:val="continue"/>
            <w:vAlign w:val="center"/>
          </w:tcPr>
          <w:p>
            <w:pPr>
              <w:spacing w:line="460" w:lineRule="exact"/>
              <w:jc w:val="center"/>
              <w:rPr>
                <w:rFonts w:ascii="仿宋" w:hAnsi="仿宋" w:eastAsia="仿宋" w:cs="宋体"/>
                <w:color w:val="000000" w:themeColor="text1"/>
                <w:szCs w:val="21"/>
                <w:highlight w:val="none"/>
                <w14:textFill>
                  <w14:solidFill>
                    <w14:schemeClr w14:val="tx1"/>
                  </w14:solidFill>
                </w14:textFill>
              </w:rPr>
            </w:pPr>
          </w:p>
        </w:tc>
        <w:tc>
          <w:tcPr>
            <w:tcW w:w="1327" w:type="dxa"/>
            <w:vAlign w:val="center"/>
          </w:tcPr>
          <w:p>
            <w:pPr>
              <w:adjustRightInd w:val="0"/>
              <w:snapToGrid w:val="0"/>
              <w:spacing w:line="240" w:lineRule="exact"/>
              <w:jc w:val="center"/>
              <w:rPr>
                <w:rFonts w:ascii="仿宋" w:hAnsi="仿宋" w:eastAsia="仿宋" w:cs="宋体"/>
                <w:color w:val="000000"/>
                <w:highlight w:val="none"/>
              </w:rPr>
            </w:pPr>
            <w:r>
              <w:rPr>
                <w:rFonts w:hint="eastAsia" w:ascii="仿宋" w:hAnsi="仿宋" w:eastAsia="仿宋" w:cs="宋体"/>
                <w:color w:val="000000"/>
                <w:highlight w:val="none"/>
              </w:rPr>
              <w:t>050300dc07</w:t>
            </w:r>
          </w:p>
        </w:tc>
        <w:tc>
          <w:tcPr>
            <w:tcW w:w="264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新闻传播史论</w:t>
            </w:r>
          </w:p>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ascii="仿宋" w:hAnsi="仿宋" w:eastAsia="仿宋"/>
                <w:color w:val="000000"/>
                <w:szCs w:val="21"/>
                <w:highlight w:val="none"/>
              </w:rPr>
              <w:t xml:space="preserve">History </w:t>
            </w:r>
            <w:r>
              <w:rPr>
                <w:rFonts w:hint="eastAsia" w:ascii="仿宋" w:hAnsi="仿宋" w:eastAsia="仿宋"/>
                <w:color w:val="000000"/>
                <w:szCs w:val="21"/>
                <w:highlight w:val="none"/>
                <w:lang w:val="en-US" w:eastAsia="zh-Hans"/>
              </w:rPr>
              <w:t>and</w:t>
            </w:r>
            <w:r>
              <w:rPr>
                <w:rFonts w:hint="default" w:ascii="仿宋" w:hAnsi="仿宋" w:eastAsia="仿宋"/>
                <w:color w:val="000000"/>
                <w:szCs w:val="21"/>
                <w:highlight w:val="none"/>
                <w:lang w:eastAsia="zh-Hans"/>
              </w:rPr>
              <w:t xml:space="preserve"> </w:t>
            </w:r>
            <w:r>
              <w:rPr>
                <w:rFonts w:hint="eastAsia" w:ascii="仿宋" w:hAnsi="仿宋" w:eastAsia="仿宋"/>
                <w:color w:val="000000"/>
                <w:szCs w:val="21"/>
                <w:highlight w:val="none"/>
                <w:lang w:val="en-US" w:eastAsia="zh-Hans"/>
              </w:rPr>
              <w:t>Theory</w:t>
            </w:r>
            <w:r>
              <w:rPr>
                <w:rFonts w:hint="default" w:ascii="仿宋" w:hAnsi="仿宋" w:eastAsia="仿宋"/>
                <w:color w:val="000000"/>
                <w:szCs w:val="21"/>
                <w:highlight w:val="none"/>
                <w:lang w:eastAsia="zh-Hans"/>
              </w:rPr>
              <w:t xml:space="preserve"> </w:t>
            </w:r>
            <w:r>
              <w:rPr>
                <w:rFonts w:ascii="仿宋" w:hAnsi="仿宋" w:eastAsia="仿宋"/>
                <w:color w:val="000000"/>
                <w:szCs w:val="21"/>
                <w:highlight w:val="none"/>
              </w:rPr>
              <w:t>of Journalism and Communication</w:t>
            </w:r>
          </w:p>
        </w:tc>
        <w:tc>
          <w:tcPr>
            <w:tcW w:w="567" w:type="dxa"/>
            <w:vAlign w:val="center"/>
          </w:tcPr>
          <w:p>
            <w:pPr>
              <w:adjustRightInd w:val="0"/>
              <w:snapToGrid w:val="0"/>
              <w:spacing w:line="240" w:lineRule="exact"/>
              <w:jc w:val="center"/>
              <w:rPr>
                <w:rFonts w:hint="default" w:ascii="仿宋" w:hAnsi="仿宋" w:eastAsia="仿宋"/>
                <w:color w:val="000000" w:themeColor="text1"/>
                <w:szCs w:val="21"/>
                <w:highlight w:val="none"/>
                <w:lang w:val="en-US" w:eastAsia="zh-CN"/>
                <w14:textFill>
                  <w14:solidFill>
                    <w14:schemeClr w14:val="tx1"/>
                  </w14:solidFill>
                </w14:textFill>
              </w:rPr>
            </w:pPr>
            <w:r>
              <w:rPr>
                <w:rFonts w:hint="eastAsia" w:ascii="仿宋" w:hAnsi="仿宋" w:eastAsia="仿宋"/>
                <w:color w:val="000000" w:themeColor="text1"/>
                <w:szCs w:val="21"/>
                <w:highlight w:val="none"/>
                <w:lang w:val="en-US" w:eastAsia="zh-CN"/>
                <w14:textFill>
                  <w14:solidFill>
                    <w14:schemeClr w14:val="tx1"/>
                  </w14:solidFill>
                </w14:textFill>
              </w:rPr>
              <w:t>40</w:t>
            </w:r>
          </w:p>
        </w:tc>
        <w:tc>
          <w:tcPr>
            <w:tcW w:w="42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2</w:t>
            </w:r>
          </w:p>
        </w:tc>
        <w:tc>
          <w:tcPr>
            <w:tcW w:w="71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2</w:t>
            </w:r>
          </w:p>
        </w:tc>
        <w:tc>
          <w:tcPr>
            <w:tcW w:w="854"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本专业点</w:t>
            </w:r>
          </w:p>
        </w:tc>
        <w:tc>
          <w:tcPr>
            <w:tcW w:w="71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考试或考查</w:t>
            </w:r>
          </w:p>
        </w:tc>
        <w:tc>
          <w:tcPr>
            <w:tcW w:w="70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各方向必选</w:t>
            </w:r>
          </w:p>
        </w:tc>
        <w:tc>
          <w:tcPr>
            <w:tcW w:w="567"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80" w:type="dxa"/>
            <w:vMerge w:val="continue"/>
            <w:vAlign w:val="center"/>
          </w:tcPr>
          <w:p>
            <w:pPr>
              <w:spacing w:line="460" w:lineRule="exact"/>
              <w:jc w:val="center"/>
              <w:rPr>
                <w:rFonts w:ascii="仿宋" w:hAnsi="仿宋" w:eastAsia="仿宋" w:cs="宋体"/>
                <w:color w:val="000000" w:themeColor="text1"/>
                <w:szCs w:val="21"/>
                <w:highlight w:val="none"/>
                <w14:textFill>
                  <w14:solidFill>
                    <w14:schemeClr w14:val="tx1"/>
                  </w14:solidFill>
                </w14:textFill>
              </w:rPr>
            </w:pPr>
          </w:p>
        </w:tc>
        <w:tc>
          <w:tcPr>
            <w:tcW w:w="1327" w:type="dxa"/>
            <w:vAlign w:val="center"/>
          </w:tcPr>
          <w:p>
            <w:pPr>
              <w:adjustRightInd w:val="0"/>
              <w:snapToGrid w:val="0"/>
              <w:spacing w:line="240" w:lineRule="exact"/>
              <w:jc w:val="center"/>
              <w:rPr>
                <w:rFonts w:hint="eastAsia" w:ascii="仿宋" w:hAnsi="仿宋" w:eastAsia="仿宋" w:cs="宋体"/>
                <w:color w:val="000000"/>
                <w:highlight w:val="none"/>
              </w:rPr>
            </w:pPr>
            <w:r>
              <w:rPr>
                <w:rFonts w:hint="eastAsia" w:ascii="仿宋" w:hAnsi="仿宋" w:eastAsia="仿宋" w:cs="宋体"/>
                <w:color w:val="000000"/>
                <w:highlight w:val="none"/>
              </w:rPr>
              <w:t>050300md02</w:t>
            </w:r>
          </w:p>
        </w:tc>
        <w:tc>
          <w:tcPr>
            <w:tcW w:w="264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马克思主义新闻观</w:t>
            </w:r>
          </w:p>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ascii="仿宋" w:hAnsi="仿宋" w:eastAsia="仿宋" w:cs="宋体"/>
                <w:color w:val="000000"/>
                <w:highlight w:val="none"/>
              </w:rPr>
              <w:t xml:space="preserve">Marxist </w:t>
            </w:r>
            <w:r>
              <w:rPr>
                <w:rFonts w:hint="eastAsia" w:ascii="仿宋" w:hAnsi="仿宋" w:eastAsia="仿宋" w:cs="宋体"/>
                <w:color w:val="000000"/>
                <w:highlight w:val="none"/>
                <w:lang w:val="en-US" w:eastAsia="zh-Hans"/>
              </w:rPr>
              <w:t>View</w:t>
            </w:r>
            <w:r>
              <w:rPr>
                <w:rFonts w:ascii="仿宋" w:hAnsi="仿宋" w:eastAsia="仿宋" w:cs="宋体"/>
                <w:color w:val="000000"/>
                <w:highlight w:val="none"/>
              </w:rPr>
              <w:t xml:space="preserve"> of Journalism</w:t>
            </w:r>
          </w:p>
        </w:tc>
        <w:tc>
          <w:tcPr>
            <w:tcW w:w="567" w:type="dxa"/>
            <w:vAlign w:val="center"/>
          </w:tcPr>
          <w:p>
            <w:pPr>
              <w:adjustRightInd w:val="0"/>
              <w:snapToGrid w:val="0"/>
              <w:spacing w:line="240" w:lineRule="exact"/>
              <w:jc w:val="center"/>
              <w:rPr>
                <w:rFonts w:hint="default" w:ascii="仿宋" w:hAnsi="仿宋" w:eastAsia="仿宋"/>
                <w:color w:val="000000" w:themeColor="text1"/>
                <w:szCs w:val="21"/>
                <w:highlight w:val="none"/>
                <w:lang w:val="en-US" w:eastAsia="zh-CN"/>
                <w14:textFill>
                  <w14:solidFill>
                    <w14:schemeClr w14:val="tx1"/>
                  </w14:solidFill>
                </w14:textFill>
              </w:rPr>
            </w:pPr>
            <w:r>
              <w:rPr>
                <w:rFonts w:hint="eastAsia" w:ascii="仿宋" w:hAnsi="仿宋" w:eastAsia="仿宋"/>
                <w:color w:val="000000" w:themeColor="text1"/>
                <w:szCs w:val="21"/>
                <w:highlight w:val="none"/>
                <w:lang w:val="en-US" w:eastAsia="zh-CN"/>
                <w14:textFill>
                  <w14:solidFill>
                    <w14:schemeClr w14:val="tx1"/>
                  </w14:solidFill>
                </w14:textFill>
              </w:rPr>
              <w:t>20</w:t>
            </w:r>
          </w:p>
        </w:tc>
        <w:tc>
          <w:tcPr>
            <w:tcW w:w="42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1</w:t>
            </w:r>
          </w:p>
        </w:tc>
        <w:tc>
          <w:tcPr>
            <w:tcW w:w="71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2</w:t>
            </w:r>
          </w:p>
        </w:tc>
        <w:tc>
          <w:tcPr>
            <w:tcW w:w="854"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本专业点</w:t>
            </w:r>
          </w:p>
        </w:tc>
        <w:tc>
          <w:tcPr>
            <w:tcW w:w="71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ascii="仿宋" w:hAnsi="仿宋" w:eastAsia="仿宋"/>
                <w:color w:val="000000" w:themeColor="text1"/>
                <w:szCs w:val="21"/>
                <w:highlight w:val="none"/>
                <w14:textFill>
                  <w14:solidFill>
                    <w14:schemeClr w14:val="tx1"/>
                  </w14:solidFill>
                </w14:textFill>
              </w:rPr>
              <w:t>考试</w:t>
            </w:r>
            <w:r>
              <w:rPr>
                <w:rFonts w:hint="eastAsia" w:ascii="仿宋" w:hAnsi="仿宋" w:eastAsia="仿宋"/>
                <w:color w:val="000000" w:themeColor="text1"/>
                <w:szCs w:val="21"/>
                <w:highlight w:val="none"/>
                <w14:textFill>
                  <w14:solidFill>
                    <w14:schemeClr w14:val="tx1"/>
                  </w14:solidFill>
                </w14:textFill>
              </w:rPr>
              <w:t>或考查</w:t>
            </w:r>
          </w:p>
        </w:tc>
        <w:tc>
          <w:tcPr>
            <w:tcW w:w="70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各方向必选</w:t>
            </w:r>
          </w:p>
        </w:tc>
        <w:tc>
          <w:tcPr>
            <w:tcW w:w="567" w:type="dxa"/>
            <w:vAlign w:val="center"/>
          </w:tcPr>
          <w:p>
            <w:pPr>
              <w:adjustRightInd w:val="0"/>
              <w:snapToGrid w:val="0"/>
              <w:spacing w:line="240" w:lineRule="exact"/>
              <w:jc w:val="center"/>
              <w:rPr>
                <w:rFonts w:ascii="仿宋" w:hAnsi="仿宋" w:eastAsia="仿宋"/>
                <w:color w:val="FF0000"/>
                <w:szCs w:val="21"/>
                <w:highlight w:val="none"/>
              </w:rPr>
            </w:pPr>
          </w:p>
          <w:p>
            <w:pPr>
              <w:adjustRightInd w:val="0"/>
              <w:snapToGrid w:val="0"/>
              <w:spacing w:line="240" w:lineRule="exact"/>
              <w:rPr>
                <w:rFonts w:ascii="仿宋" w:hAnsi="仿宋" w:eastAsia="仿宋"/>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80" w:type="dxa"/>
            <w:vMerge w:val="continue"/>
            <w:vAlign w:val="center"/>
          </w:tcPr>
          <w:p>
            <w:pPr>
              <w:spacing w:line="460" w:lineRule="exact"/>
              <w:jc w:val="center"/>
              <w:rPr>
                <w:rFonts w:ascii="仿宋" w:hAnsi="仿宋" w:eastAsia="仿宋" w:cs="宋体"/>
                <w:color w:val="000000" w:themeColor="text1"/>
                <w:szCs w:val="21"/>
                <w:highlight w:val="none"/>
                <w14:textFill>
                  <w14:solidFill>
                    <w14:schemeClr w14:val="tx1"/>
                  </w14:solidFill>
                </w14:textFill>
              </w:rPr>
            </w:pPr>
          </w:p>
        </w:tc>
        <w:tc>
          <w:tcPr>
            <w:tcW w:w="1327" w:type="dxa"/>
            <w:vAlign w:val="center"/>
          </w:tcPr>
          <w:p>
            <w:pPr>
              <w:adjustRightInd w:val="0"/>
              <w:snapToGrid w:val="0"/>
              <w:spacing w:line="240" w:lineRule="exact"/>
              <w:jc w:val="center"/>
              <w:rPr>
                <w:rFonts w:hint="eastAsia" w:ascii="仿宋" w:hAnsi="仿宋" w:eastAsia="仿宋" w:cs="宋体"/>
                <w:color w:val="000000"/>
                <w:highlight w:val="none"/>
              </w:rPr>
            </w:pPr>
            <w:r>
              <w:rPr>
                <w:rFonts w:hint="eastAsia" w:ascii="仿宋" w:hAnsi="仿宋" w:eastAsia="仿宋" w:cs="宋体"/>
                <w:color w:val="000000"/>
                <w:highlight w:val="none"/>
              </w:rPr>
              <w:t>050301mc42</w:t>
            </w:r>
          </w:p>
        </w:tc>
        <w:tc>
          <w:tcPr>
            <w:tcW w:w="264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媒介文化研究</w:t>
            </w:r>
          </w:p>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s="宋体"/>
                <w:szCs w:val="21"/>
                <w:highlight w:val="none"/>
              </w:rPr>
              <w:t>Media Culture</w:t>
            </w:r>
            <w:r>
              <w:rPr>
                <w:rFonts w:hint="default" w:ascii="仿宋" w:hAnsi="仿宋" w:eastAsia="仿宋" w:cs="宋体"/>
                <w:szCs w:val="21"/>
                <w:highlight w:val="none"/>
              </w:rPr>
              <w:t xml:space="preserve"> </w:t>
            </w:r>
            <w:r>
              <w:rPr>
                <w:rFonts w:hint="eastAsia" w:ascii="仿宋" w:hAnsi="仿宋" w:eastAsia="仿宋" w:cs="宋体"/>
                <w:szCs w:val="21"/>
                <w:highlight w:val="none"/>
              </w:rPr>
              <w:t>Stud</w:t>
            </w:r>
            <w:r>
              <w:rPr>
                <w:rFonts w:hint="eastAsia" w:ascii="仿宋" w:hAnsi="仿宋" w:eastAsia="仿宋" w:cs="宋体"/>
                <w:szCs w:val="21"/>
                <w:highlight w:val="none"/>
                <w:lang w:val="en-US" w:eastAsia="zh-Hans"/>
              </w:rPr>
              <w:t>ies</w:t>
            </w:r>
          </w:p>
        </w:tc>
        <w:tc>
          <w:tcPr>
            <w:tcW w:w="567"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lang w:val="en-US" w:eastAsia="zh-CN"/>
                <w14:textFill>
                  <w14:solidFill>
                    <w14:schemeClr w14:val="tx1"/>
                  </w14:solidFill>
                </w14:textFill>
              </w:rPr>
              <w:t>40</w:t>
            </w:r>
          </w:p>
        </w:tc>
        <w:tc>
          <w:tcPr>
            <w:tcW w:w="42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2</w:t>
            </w:r>
          </w:p>
        </w:tc>
        <w:tc>
          <w:tcPr>
            <w:tcW w:w="71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2</w:t>
            </w:r>
          </w:p>
        </w:tc>
        <w:tc>
          <w:tcPr>
            <w:tcW w:w="854"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本专业点</w:t>
            </w:r>
          </w:p>
        </w:tc>
        <w:tc>
          <w:tcPr>
            <w:tcW w:w="71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考试或考查</w:t>
            </w:r>
          </w:p>
        </w:tc>
        <w:tc>
          <w:tcPr>
            <w:tcW w:w="70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方向1、2必选</w:t>
            </w:r>
          </w:p>
        </w:tc>
        <w:tc>
          <w:tcPr>
            <w:tcW w:w="567" w:type="dxa"/>
            <w:vAlign w:val="center"/>
          </w:tcPr>
          <w:p>
            <w:pPr>
              <w:adjustRightInd w:val="0"/>
              <w:snapToGrid w:val="0"/>
              <w:spacing w:line="240" w:lineRule="exact"/>
              <w:jc w:val="center"/>
              <w:rPr>
                <w:rFonts w:ascii="仿宋" w:hAnsi="仿宋" w:eastAsia="仿宋"/>
                <w:color w:val="000000" w:themeColor="text1"/>
                <w:sz w:val="15"/>
                <w:szCs w:val="15"/>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880" w:type="dxa"/>
            <w:vMerge w:val="continue"/>
            <w:vAlign w:val="center"/>
          </w:tcPr>
          <w:p>
            <w:pPr>
              <w:spacing w:line="460" w:lineRule="exact"/>
              <w:jc w:val="center"/>
              <w:rPr>
                <w:rFonts w:ascii="仿宋" w:hAnsi="仿宋" w:eastAsia="仿宋" w:cs="宋体"/>
                <w:color w:val="000000" w:themeColor="text1"/>
                <w:szCs w:val="21"/>
                <w:highlight w:val="none"/>
                <w14:textFill>
                  <w14:solidFill>
                    <w14:schemeClr w14:val="tx1"/>
                  </w14:solidFill>
                </w14:textFill>
              </w:rPr>
            </w:pPr>
          </w:p>
        </w:tc>
        <w:tc>
          <w:tcPr>
            <w:tcW w:w="1327" w:type="dxa"/>
            <w:vAlign w:val="center"/>
          </w:tcPr>
          <w:p>
            <w:pPr>
              <w:adjustRightInd w:val="0"/>
              <w:snapToGrid w:val="0"/>
              <w:spacing w:line="240" w:lineRule="exact"/>
              <w:jc w:val="center"/>
              <w:rPr>
                <w:rFonts w:hint="eastAsia" w:ascii="仿宋" w:hAnsi="仿宋" w:eastAsia="仿宋" w:cs="宋体"/>
                <w:color w:val="000000"/>
                <w:highlight w:val="none"/>
              </w:rPr>
            </w:pPr>
            <w:r>
              <w:rPr>
                <w:rFonts w:hint="eastAsia" w:ascii="仿宋" w:hAnsi="仿宋" w:eastAsia="仿宋" w:cs="宋体"/>
                <w:color w:val="000000"/>
                <w:highlight w:val="none"/>
              </w:rPr>
              <w:t>0503z1mc05</w:t>
            </w:r>
          </w:p>
        </w:tc>
        <w:tc>
          <w:tcPr>
            <w:tcW w:w="264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数字营销传播研究</w:t>
            </w:r>
          </w:p>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ascii="仿宋" w:hAnsi="仿宋" w:eastAsia="仿宋"/>
                <w:color w:val="000000"/>
                <w:szCs w:val="21"/>
                <w:highlight w:val="none"/>
              </w:rPr>
              <w:t xml:space="preserve">Digital Marketing Communication </w:t>
            </w:r>
            <w:r>
              <w:rPr>
                <w:rFonts w:ascii="仿宋" w:hAnsi="仿宋" w:eastAsia="仿宋"/>
                <w:szCs w:val="21"/>
                <w:highlight w:val="none"/>
              </w:rPr>
              <w:t>Research</w:t>
            </w:r>
          </w:p>
        </w:tc>
        <w:tc>
          <w:tcPr>
            <w:tcW w:w="567"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lang w:val="en-US" w:eastAsia="zh-CN"/>
                <w14:textFill>
                  <w14:solidFill>
                    <w14:schemeClr w14:val="tx1"/>
                  </w14:solidFill>
                </w14:textFill>
              </w:rPr>
              <w:t>40</w:t>
            </w:r>
          </w:p>
        </w:tc>
        <w:tc>
          <w:tcPr>
            <w:tcW w:w="42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2</w:t>
            </w:r>
          </w:p>
        </w:tc>
        <w:tc>
          <w:tcPr>
            <w:tcW w:w="71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3</w:t>
            </w:r>
          </w:p>
        </w:tc>
        <w:tc>
          <w:tcPr>
            <w:tcW w:w="854"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本专业点</w:t>
            </w:r>
          </w:p>
        </w:tc>
        <w:tc>
          <w:tcPr>
            <w:tcW w:w="71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考试或考查</w:t>
            </w:r>
          </w:p>
        </w:tc>
        <w:tc>
          <w:tcPr>
            <w:tcW w:w="70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方向3必选</w:t>
            </w:r>
          </w:p>
        </w:tc>
        <w:tc>
          <w:tcPr>
            <w:tcW w:w="567" w:type="dxa"/>
            <w:vAlign w:val="center"/>
          </w:tcPr>
          <w:p>
            <w:pPr>
              <w:adjustRightInd w:val="0"/>
              <w:snapToGrid w:val="0"/>
              <w:spacing w:line="240" w:lineRule="exact"/>
              <w:jc w:val="center"/>
              <w:rPr>
                <w:rFonts w:ascii="仿宋" w:hAnsi="仿宋" w:eastAsia="仿宋"/>
                <w:color w:val="000000" w:themeColor="text1"/>
                <w:sz w:val="15"/>
                <w:szCs w:val="15"/>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880" w:type="dxa"/>
            <w:vMerge w:val="continue"/>
            <w:vAlign w:val="center"/>
          </w:tcPr>
          <w:p>
            <w:pPr>
              <w:spacing w:line="460" w:lineRule="exact"/>
              <w:jc w:val="center"/>
              <w:rPr>
                <w:rFonts w:ascii="仿宋" w:hAnsi="仿宋" w:eastAsia="仿宋" w:cs="宋体"/>
                <w:color w:val="000000" w:themeColor="text1"/>
                <w:szCs w:val="21"/>
                <w:highlight w:val="none"/>
                <w14:textFill>
                  <w14:solidFill>
                    <w14:schemeClr w14:val="tx1"/>
                  </w14:solidFill>
                </w14:textFill>
              </w:rPr>
            </w:pPr>
            <w:bookmarkStart w:id="0" w:name="OLE_LINK1" w:colFirst="1" w:colLast="1"/>
          </w:p>
        </w:tc>
        <w:tc>
          <w:tcPr>
            <w:tcW w:w="1327" w:type="dxa"/>
            <w:vAlign w:val="center"/>
          </w:tcPr>
          <w:p>
            <w:pPr>
              <w:adjustRightInd w:val="0"/>
              <w:snapToGrid w:val="0"/>
              <w:spacing w:line="240" w:lineRule="exact"/>
              <w:jc w:val="center"/>
              <w:rPr>
                <w:rFonts w:ascii="仿宋" w:hAnsi="仿宋" w:eastAsia="仿宋" w:cs="宋体"/>
                <w:szCs w:val="21"/>
                <w:highlight w:val="none"/>
              </w:rPr>
            </w:pPr>
            <w:r>
              <w:rPr>
                <w:rFonts w:hint="eastAsia" w:ascii="仿宋" w:hAnsi="仿宋" w:eastAsia="仿宋" w:cs="宋体"/>
                <w:color w:val="000000"/>
                <w:highlight w:val="none"/>
              </w:rPr>
              <w:t>050300dc11</w:t>
            </w:r>
          </w:p>
        </w:tc>
        <w:tc>
          <w:tcPr>
            <w:tcW w:w="264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视听传播研究</w:t>
            </w:r>
          </w:p>
          <w:p>
            <w:pPr>
              <w:adjustRightInd w:val="0"/>
              <w:snapToGrid w:val="0"/>
              <w:spacing w:line="240" w:lineRule="exact"/>
              <w:jc w:val="center"/>
              <w:rPr>
                <w:rFonts w:ascii="仿宋" w:hAnsi="仿宋" w:eastAsia="仿宋"/>
                <w:szCs w:val="21"/>
                <w:highlight w:val="none"/>
              </w:rPr>
            </w:pPr>
            <w:r>
              <w:rPr>
                <w:rFonts w:ascii="仿宋" w:hAnsi="仿宋" w:eastAsia="仿宋"/>
                <w:szCs w:val="21"/>
                <w:highlight w:val="none"/>
              </w:rPr>
              <w:t>Audio-v</w:t>
            </w:r>
            <w:r>
              <w:rPr>
                <w:rFonts w:hint="eastAsia" w:ascii="仿宋" w:hAnsi="仿宋" w:eastAsia="仿宋"/>
                <w:szCs w:val="21"/>
                <w:highlight w:val="none"/>
              </w:rPr>
              <w:t>isua</w:t>
            </w:r>
            <w:r>
              <w:rPr>
                <w:rFonts w:ascii="仿宋" w:hAnsi="仿宋" w:eastAsia="仿宋"/>
                <w:szCs w:val="21"/>
                <w:highlight w:val="none"/>
              </w:rPr>
              <w:t xml:space="preserve">l </w:t>
            </w:r>
            <w:r>
              <w:rPr>
                <w:rFonts w:hint="eastAsia" w:ascii="仿宋" w:hAnsi="仿宋" w:eastAsia="仿宋"/>
                <w:szCs w:val="21"/>
                <w:highlight w:val="none"/>
              </w:rPr>
              <w:t>Communication</w:t>
            </w:r>
            <w:r>
              <w:rPr>
                <w:rFonts w:ascii="仿宋" w:hAnsi="仿宋" w:eastAsia="仿宋"/>
                <w:szCs w:val="21"/>
                <w:highlight w:val="none"/>
              </w:rPr>
              <w:t xml:space="preserve"> Research</w:t>
            </w:r>
          </w:p>
        </w:tc>
        <w:tc>
          <w:tcPr>
            <w:tcW w:w="567"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color w:val="000000" w:themeColor="text1"/>
                <w:szCs w:val="21"/>
                <w:highlight w:val="none"/>
                <w:lang w:val="en-US" w:eastAsia="zh-CN"/>
                <w14:textFill>
                  <w14:solidFill>
                    <w14:schemeClr w14:val="tx1"/>
                  </w14:solidFill>
                </w14:textFill>
              </w:rPr>
              <w:t>40</w:t>
            </w:r>
          </w:p>
        </w:tc>
        <w:tc>
          <w:tcPr>
            <w:tcW w:w="42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2</w:t>
            </w:r>
          </w:p>
        </w:tc>
        <w:tc>
          <w:tcPr>
            <w:tcW w:w="71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3</w:t>
            </w:r>
          </w:p>
        </w:tc>
        <w:tc>
          <w:tcPr>
            <w:tcW w:w="854"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本专业点</w:t>
            </w:r>
          </w:p>
        </w:tc>
        <w:tc>
          <w:tcPr>
            <w:tcW w:w="71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考试或考查</w:t>
            </w:r>
          </w:p>
        </w:tc>
        <w:tc>
          <w:tcPr>
            <w:tcW w:w="70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方向4必选</w:t>
            </w:r>
          </w:p>
        </w:tc>
        <w:tc>
          <w:tcPr>
            <w:tcW w:w="567" w:type="dxa"/>
            <w:vAlign w:val="center"/>
          </w:tcPr>
          <w:p>
            <w:pPr>
              <w:adjustRightInd w:val="0"/>
              <w:snapToGrid w:val="0"/>
              <w:spacing w:line="240" w:lineRule="exact"/>
              <w:jc w:val="center"/>
              <w:rPr>
                <w:rFonts w:ascii="仿宋" w:hAnsi="仿宋" w:eastAsia="仿宋"/>
                <w:sz w:val="15"/>
                <w:szCs w:val="15"/>
                <w:highlight w:val="none"/>
              </w:rPr>
            </w:pP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880" w:type="dxa"/>
            <w:vMerge w:val="continue"/>
            <w:vAlign w:val="center"/>
          </w:tcPr>
          <w:p>
            <w:pPr>
              <w:spacing w:line="460" w:lineRule="exact"/>
              <w:jc w:val="center"/>
              <w:rPr>
                <w:rFonts w:ascii="仿宋" w:hAnsi="仿宋" w:eastAsia="仿宋" w:cs="宋体"/>
                <w:color w:val="000000" w:themeColor="text1"/>
                <w:szCs w:val="21"/>
                <w:highlight w:val="none"/>
                <w14:textFill>
                  <w14:solidFill>
                    <w14:schemeClr w14:val="tx1"/>
                  </w14:solidFill>
                </w14:textFill>
              </w:rPr>
            </w:pPr>
          </w:p>
          <w:p>
            <w:pPr>
              <w:spacing w:line="460" w:lineRule="exact"/>
              <w:jc w:val="center"/>
              <w:rPr>
                <w:rFonts w:ascii="仿宋" w:hAnsi="仿宋" w:eastAsia="仿宋" w:cs="宋体"/>
                <w:color w:val="000000" w:themeColor="text1"/>
                <w:szCs w:val="21"/>
                <w:highlight w:val="none"/>
                <w14:textFill>
                  <w14:solidFill>
                    <w14:schemeClr w14:val="tx1"/>
                  </w14:solidFill>
                </w14:textFill>
              </w:rPr>
            </w:pPr>
          </w:p>
        </w:tc>
        <w:tc>
          <w:tcPr>
            <w:tcW w:w="1327" w:type="dxa"/>
            <w:vAlign w:val="center"/>
          </w:tcPr>
          <w:p>
            <w:pPr>
              <w:adjustRightInd w:val="0"/>
              <w:snapToGrid w:val="0"/>
              <w:spacing w:line="240" w:lineRule="exact"/>
              <w:jc w:val="center"/>
              <w:rPr>
                <w:rFonts w:ascii="仿宋" w:hAnsi="仿宋" w:eastAsia="仿宋" w:cs="宋体"/>
                <w:szCs w:val="21"/>
                <w:highlight w:val="none"/>
              </w:rPr>
            </w:pPr>
            <w:r>
              <w:rPr>
                <w:rFonts w:hint="eastAsia" w:ascii="仿宋" w:hAnsi="仿宋" w:eastAsia="仿宋" w:cs="宋体"/>
                <w:color w:val="000000"/>
                <w:highlight w:val="none"/>
              </w:rPr>
              <w:t>055200mc55</w:t>
            </w:r>
          </w:p>
        </w:tc>
        <w:tc>
          <w:tcPr>
            <w:tcW w:w="264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国际传播理论</w:t>
            </w:r>
            <w:r>
              <w:rPr>
                <w:rFonts w:ascii="仿宋" w:hAnsi="仿宋" w:eastAsia="仿宋"/>
                <w:szCs w:val="21"/>
                <w:highlight w:val="none"/>
              </w:rPr>
              <w:t>International</w:t>
            </w:r>
            <w:r>
              <w:rPr>
                <w:rFonts w:hint="eastAsia" w:ascii="仿宋" w:hAnsi="仿宋" w:eastAsia="仿宋"/>
                <w:szCs w:val="21"/>
                <w:highlight w:val="none"/>
              </w:rPr>
              <w:t xml:space="preserve"> C</w:t>
            </w:r>
            <w:r>
              <w:rPr>
                <w:rFonts w:ascii="仿宋" w:hAnsi="仿宋" w:eastAsia="仿宋"/>
                <w:szCs w:val="21"/>
                <w:highlight w:val="none"/>
              </w:rPr>
              <w:t>ommunication Theories</w:t>
            </w:r>
          </w:p>
        </w:tc>
        <w:tc>
          <w:tcPr>
            <w:tcW w:w="567"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color w:val="000000" w:themeColor="text1"/>
                <w:szCs w:val="21"/>
                <w:highlight w:val="none"/>
                <w:lang w:val="en-US" w:eastAsia="zh-CN"/>
                <w14:textFill>
                  <w14:solidFill>
                    <w14:schemeClr w14:val="tx1"/>
                  </w14:solidFill>
                </w14:textFill>
              </w:rPr>
              <w:t>40</w:t>
            </w:r>
          </w:p>
        </w:tc>
        <w:tc>
          <w:tcPr>
            <w:tcW w:w="42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2</w:t>
            </w:r>
          </w:p>
        </w:tc>
        <w:tc>
          <w:tcPr>
            <w:tcW w:w="712" w:type="dxa"/>
            <w:vAlign w:val="center"/>
          </w:tcPr>
          <w:p>
            <w:pPr>
              <w:spacing w:line="320" w:lineRule="exact"/>
              <w:jc w:val="center"/>
              <w:rPr>
                <w:rFonts w:ascii="仿宋" w:hAnsi="仿宋" w:eastAsia="仿宋"/>
                <w:szCs w:val="21"/>
                <w:highlight w:val="none"/>
              </w:rPr>
            </w:pPr>
            <w:r>
              <w:rPr>
                <w:rFonts w:hint="eastAsia" w:ascii="仿宋" w:hAnsi="仿宋" w:eastAsia="仿宋"/>
                <w:szCs w:val="21"/>
                <w:highlight w:val="none"/>
              </w:rPr>
              <w:t>2</w:t>
            </w:r>
          </w:p>
        </w:tc>
        <w:tc>
          <w:tcPr>
            <w:tcW w:w="854" w:type="dxa"/>
            <w:vAlign w:val="center"/>
          </w:tcPr>
          <w:p>
            <w:pPr>
              <w:widowControl/>
              <w:jc w:val="center"/>
              <w:rPr>
                <w:rFonts w:ascii="仿宋" w:hAnsi="仿宋" w:eastAsia="仿宋" w:cstheme="minorEastAsia"/>
                <w:szCs w:val="21"/>
                <w:highlight w:val="none"/>
              </w:rPr>
            </w:pPr>
            <w:r>
              <w:rPr>
                <w:rFonts w:hint="eastAsia" w:ascii="仿宋" w:hAnsi="仿宋" w:eastAsia="仿宋" w:cstheme="minorEastAsia"/>
                <w:szCs w:val="21"/>
                <w:highlight w:val="none"/>
              </w:rPr>
              <w:t>本专业点</w:t>
            </w:r>
          </w:p>
        </w:tc>
        <w:tc>
          <w:tcPr>
            <w:tcW w:w="71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考试或考查</w:t>
            </w:r>
          </w:p>
        </w:tc>
        <w:tc>
          <w:tcPr>
            <w:tcW w:w="70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方向5必选</w:t>
            </w:r>
          </w:p>
        </w:tc>
        <w:tc>
          <w:tcPr>
            <w:tcW w:w="567" w:type="dxa"/>
            <w:vAlign w:val="center"/>
          </w:tcPr>
          <w:p>
            <w:pPr>
              <w:adjustRightInd w:val="0"/>
              <w:snapToGrid w:val="0"/>
              <w:spacing w:line="240" w:lineRule="exact"/>
              <w:jc w:val="center"/>
              <w:rPr>
                <w:rFonts w:ascii="仿宋" w:hAnsi="仿宋" w:eastAsia="仿宋"/>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880" w:type="dxa"/>
            <w:vMerge w:val="continue"/>
            <w:vAlign w:val="center"/>
          </w:tcPr>
          <w:p>
            <w:pPr>
              <w:spacing w:line="460" w:lineRule="exact"/>
              <w:jc w:val="center"/>
              <w:rPr>
                <w:rFonts w:ascii="仿宋" w:hAnsi="仿宋" w:eastAsia="仿宋" w:cs="宋体"/>
                <w:color w:val="000000" w:themeColor="text1"/>
                <w:szCs w:val="21"/>
                <w:highlight w:val="none"/>
                <w14:textFill>
                  <w14:solidFill>
                    <w14:schemeClr w14:val="tx1"/>
                  </w14:solidFill>
                </w14:textFill>
              </w:rPr>
            </w:pPr>
          </w:p>
        </w:tc>
        <w:tc>
          <w:tcPr>
            <w:tcW w:w="1327" w:type="dxa"/>
            <w:vAlign w:val="center"/>
          </w:tcPr>
          <w:p>
            <w:pPr>
              <w:adjustRightInd w:val="0"/>
              <w:snapToGrid w:val="0"/>
              <w:spacing w:line="240" w:lineRule="exact"/>
              <w:jc w:val="center"/>
              <w:rPr>
                <w:rFonts w:hint="eastAsia" w:ascii="仿宋" w:hAnsi="仿宋" w:eastAsia="仿宋" w:cs="宋体"/>
                <w:color w:val="000000"/>
                <w:highlight w:val="none"/>
              </w:rPr>
            </w:pPr>
            <w:r>
              <w:rPr>
                <w:rFonts w:hint="eastAsia" w:ascii="仿宋" w:hAnsi="仿宋" w:eastAsia="仿宋" w:cs="宋体"/>
                <w:color w:val="000000"/>
                <w:highlight w:val="none"/>
              </w:rPr>
              <w:t>0503z2dc02</w:t>
            </w:r>
          </w:p>
        </w:tc>
        <w:tc>
          <w:tcPr>
            <w:tcW w:w="264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新媒体专题研究</w:t>
            </w:r>
          </w:p>
          <w:p>
            <w:pPr>
              <w:adjustRightInd w:val="0"/>
              <w:snapToGrid w:val="0"/>
              <w:spacing w:line="240" w:lineRule="exact"/>
              <w:jc w:val="center"/>
              <w:rPr>
                <w:rFonts w:ascii="仿宋" w:hAnsi="仿宋" w:eastAsia="仿宋"/>
                <w:szCs w:val="21"/>
                <w:highlight w:val="none"/>
              </w:rPr>
            </w:pPr>
            <w:r>
              <w:rPr>
                <w:rFonts w:ascii="仿宋" w:hAnsi="仿宋" w:eastAsia="仿宋"/>
                <w:szCs w:val="21"/>
                <w:highlight w:val="none"/>
              </w:rPr>
              <w:t>Special Topics in New Media</w:t>
            </w:r>
          </w:p>
        </w:tc>
        <w:tc>
          <w:tcPr>
            <w:tcW w:w="567"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color w:val="000000" w:themeColor="text1"/>
                <w:szCs w:val="21"/>
                <w:highlight w:val="none"/>
                <w:lang w:val="en-US" w:eastAsia="zh-CN"/>
                <w14:textFill>
                  <w14:solidFill>
                    <w14:schemeClr w14:val="tx1"/>
                  </w14:solidFill>
                </w14:textFill>
              </w:rPr>
              <w:t>40</w:t>
            </w:r>
          </w:p>
        </w:tc>
        <w:tc>
          <w:tcPr>
            <w:tcW w:w="42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2</w:t>
            </w:r>
          </w:p>
        </w:tc>
        <w:tc>
          <w:tcPr>
            <w:tcW w:w="71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1</w:t>
            </w:r>
          </w:p>
        </w:tc>
        <w:tc>
          <w:tcPr>
            <w:tcW w:w="854"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本专业点</w:t>
            </w:r>
          </w:p>
        </w:tc>
        <w:tc>
          <w:tcPr>
            <w:tcW w:w="71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考试或考查</w:t>
            </w:r>
          </w:p>
        </w:tc>
        <w:tc>
          <w:tcPr>
            <w:tcW w:w="70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选修</w:t>
            </w:r>
          </w:p>
        </w:tc>
        <w:tc>
          <w:tcPr>
            <w:tcW w:w="567" w:type="dxa"/>
            <w:vAlign w:val="center"/>
          </w:tcPr>
          <w:p>
            <w:pPr>
              <w:adjustRightInd w:val="0"/>
              <w:snapToGrid w:val="0"/>
              <w:spacing w:line="240" w:lineRule="exact"/>
              <w:jc w:val="center"/>
              <w:rPr>
                <w:rFonts w:ascii="仿宋" w:hAnsi="仿宋" w:eastAsia="仿宋"/>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880" w:type="dxa"/>
            <w:vMerge w:val="continue"/>
            <w:vAlign w:val="center"/>
          </w:tcPr>
          <w:p>
            <w:pPr>
              <w:spacing w:line="460" w:lineRule="exact"/>
              <w:jc w:val="center"/>
              <w:rPr>
                <w:rFonts w:ascii="仿宋" w:hAnsi="仿宋" w:eastAsia="仿宋" w:cs="宋体"/>
                <w:color w:val="000000" w:themeColor="text1"/>
                <w:szCs w:val="21"/>
                <w:highlight w:val="none"/>
                <w14:textFill>
                  <w14:solidFill>
                    <w14:schemeClr w14:val="tx1"/>
                  </w14:solidFill>
                </w14:textFill>
              </w:rPr>
            </w:pPr>
          </w:p>
        </w:tc>
        <w:tc>
          <w:tcPr>
            <w:tcW w:w="1327" w:type="dxa"/>
            <w:vAlign w:val="center"/>
          </w:tcPr>
          <w:p>
            <w:pPr>
              <w:adjustRightInd w:val="0"/>
              <w:snapToGrid w:val="0"/>
              <w:spacing w:line="240" w:lineRule="exact"/>
              <w:jc w:val="center"/>
              <w:rPr>
                <w:rFonts w:hint="eastAsia" w:ascii="仿宋" w:hAnsi="仿宋" w:eastAsia="仿宋" w:cs="宋体"/>
                <w:color w:val="000000"/>
                <w:highlight w:val="none"/>
              </w:rPr>
            </w:pPr>
            <w:r>
              <w:rPr>
                <w:rFonts w:hint="eastAsia" w:ascii="仿宋" w:hAnsi="仿宋" w:eastAsia="仿宋" w:cs="宋体"/>
                <w:color w:val="000000"/>
                <w:highlight w:val="none"/>
              </w:rPr>
              <w:t>055200mc56</w:t>
            </w:r>
          </w:p>
        </w:tc>
        <w:tc>
          <w:tcPr>
            <w:tcW w:w="264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跨文化传播</w:t>
            </w:r>
          </w:p>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Intercultural Communication</w:t>
            </w:r>
          </w:p>
        </w:tc>
        <w:tc>
          <w:tcPr>
            <w:tcW w:w="567"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color w:val="000000" w:themeColor="text1"/>
                <w:szCs w:val="21"/>
                <w:highlight w:val="none"/>
                <w:lang w:val="en-US" w:eastAsia="zh-CN"/>
                <w14:textFill>
                  <w14:solidFill>
                    <w14:schemeClr w14:val="tx1"/>
                  </w14:solidFill>
                </w14:textFill>
              </w:rPr>
              <w:t>40</w:t>
            </w:r>
          </w:p>
        </w:tc>
        <w:tc>
          <w:tcPr>
            <w:tcW w:w="42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2</w:t>
            </w:r>
          </w:p>
        </w:tc>
        <w:tc>
          <w:tcPr>
            <w:tcW w:w="712" w:type="dxa"/>
            <w:vAlign w:val="center"/>
          </w:tcPr>
          <w:p>
            <w:pPr>
              <w:spacing w:line="320" w:lineRule="exact"/>
              <w:jc w:val="center"/>
              <w:rPr>
                <w:rFonts w:ascii="仿宋" w:hAnsi="仿宋" w:eastAsia="仿宋"/>
                <w:szCs w:val="21"/>
                <w:highlight w:val="none"/>
              </w:rPr>
            </w:pPr>
            <w:r>
              <w:rPr>
                <w:rFonts w:hint="eastAsia" w:ascii="仿宋" w:hAnsi="仿宋" w:eastAsia="仿宋"/>
                <w:szCs w:val="21"/>
                <w:highlight w:val="none"/>
              </w:rPr>
              <w:t>3</w:t>
            </w:r>
          </w:p>
        </w:tc>
        <w:tc>
          <w:tcPr>
            <w:tcW w:w="854" w:type="dxa"/>
            <w:vAlign w:val="center"/>
          </w:tcPr>
          <w:p>
            <w:pPr>
              <w:widowControl/>
              <w:jc w:val="center"/>
              <w:rPr>
                <w:rFonts w:ascii="仿宋" w:hAnsi="仿宋" w:eastAsia="仿宋" w:cstheme="minorEastAsia"/>
                <w:szCs w:val="21"/>
                <w:highlight w:val="none"/>
              </w:rPr>
            </w:pPr>
            <w:r>
              <w:rPr>
                <w:rFonts w:hint="eastAsia" w:ascii="仿宋" w:hAnsi="仿宋" w:eastAsia="仿宋" w:cstheme="minorEastAsia"/>
                <w:szCs w:val="21"/>
                <w:highlight w:val="none"/>
              </w:rPr>
              <w:t>本专业点</w:t>
            </w:r>
          </w:p>
        </w:tc>
        <w:tc>
          <w:tcPr>
            <w:tcW w:w="71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考试或考查</w:t>
            </w:r>
          </w:p>
        </w:tc>
        <w:tc>
          <w:tcPr>
            <w:tcW w:w="70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选修</w:t>
            </w:r>
          </w:p>
        </w:tc>
        <w:tc>
          <w:tcPr>
            <w:tcW w:w="567" w:type="dxa"/>
            <w:vAlign w:val="center"/>
          </w:tcPr>
          <w:p>
            <w:pPr>
              <w:adjustRightInd w:val="0"/>
              <w:snapToGrid w:val="0"/>
              <w:spacing w:line="240" w:lineRule="exact"/>
              <w:jc w:val="center"/>
              <w:rPr>
                <w:rFonts w:ascii="仿宋" w:hAnsi="仿宋" w:eastAsia="仿宋"/>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880" w:type="dxa"/>
            <w:vMerge w:val="continue"/>
            <w:vAlign w:val="center"/>
          </w:tcPr>
          <w:p>
            <w:pPr>
              <w:spacing w:line="460" w:lineRule="exact"/>
              <w:jc w:val="center"/>
              <w:rPr>
                <w:rFonts w:ascii="仿宋" w:hAnsi="仿宋" w:eastAsia="仿宋" w:cs="宋体"/>
                <w:color w:val="000000" w:themeColor="text1"/>
                <w:szCs w:val="21"/>
                <w:highlight w:val="none"/>
                <w14:textFill>
                  <w14:solidFill>
                    <w14:schemeClr w14:val="tx1"/>
                  </w14:solidFill>
                </w14:textFill>
              </w:rPr>
            </w:pPr>
          </w:p>
        </w:tc>
        <w:tc>
          <w:tcPr>
            <w:tcW w:w="1327"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s="宋体"/>
                <w:color w:val="000000"/>
                <w:highlight w:val="none"/>
              </w:rPr>
              <w:t>050300dc15</w:t>
            </w:r>
          </w:p>
        </w:tc>
        <w:tc>
          <w:tcPr>
            <w:tcW w:w="264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计算传播</w:t>
            </w:r>
          </w:p>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Computational Communication</w:t>
            </w:r>
          </w:p>
        </w:tc>
        <w:tc>
          <w:tcPr>
            <w:tcW w:w="567"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color w:val="000000" w:themeColor="text1"/>
                <w:szCs w:val="21"/>
                <w:highlight w:val="none"/>
                <w:lang w:val="en-US" w:eastAsia="zh-CN"/>
                <w14:textFill>
                  <w14:solidFill>
                    <w14:schemeClr w14:val="tx1"/>
                  </w14:solidFill>
                </w14:textFill>
              </w:rPr>
              <w:t>40</w:t>
            </w:r>
          </w:p>
        </w:tc>
        <w:tc>
          <w:tcPr>
            <w:tcW w:w="42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2</w:t>
            </w:r>
          </w:p>
        </w:tc>
        <w:tc>
          <w:tcPr>
            <w:tcW w:w="712" w:type="dxa"/>
            <w:vAlign w:val="center"/>
          </w:tcPr>
          <w:p>
            <w:pPr>
              <w:spacing w:line="320" w:lineRule="exact"/>
              <w:jc w:val="center"/>
              <w:rPr>
                <w:rFonts w:ascii="仿宋" w:hAnsi="仿宋" w:eastAsia="仿宋"/>
                <w:szCs w:val="21"/>
                <w:highlight w:val="none"/>
              </w:rPr>
            </w:pPr>
            <w:r>
              <w:rPr>
                <w:rFonts w:hint="eastAsia" w:ascii="仿宋" w:hAnsi="仿宋" w:eastAsia="仿宋"/>
                <w:szCs w:val="21"/>
                <w:highlight w:val="none"/>
              </w:rPr>
              <w:t>2</w:t>
            </w:r>
          </w:p>
        </w:tc>
        <w:tc>
          <w:tcPr>
            <w:tcW w:w="854" w:type="dxa"/>
            <w:vAlign w:val="center"/>
          </w:tcPr>
          <w:p>
            <w:pPr>
              <w:widowControl/>
              <w:jc w:val="center"/>
              <w:rPr>
                <w:rFonts w:ascii="仿宋" w:hAnsi="仿宋" w:eastAsia="仿宋" w:cstheme="minorEastAsia"/>
                <w:szCs w:val="21"/>
                <w:highlight w:val="none"/>
              </w:rPr>
            </w:pPr>
            <w:r>
              <w:rPr>
                <w:rFonts w:hint="eastAsia" w:ascii="仿宋" w:hAnsi="仿宋" w:eastAsia="仿宋" w:cstheme="minorEastAsia"/>
                <w:szCs w:val="21"/>
                <w:highlight w:val="none"/>
              </w:rPr>
              <w:t>本专业点</w:t>
            </w:r>
          </w:p>
        </w:tc>
        <w:tc>
          <w:tcPr>
            <w:tcW w:w="71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考试或考察</w:t>
            </w:r>
          </w:p>
        </w:tc>
        <w:tc>
          <w:tcPr>
            <w:tcW w:w="70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选修</w:t>
            </w:r>
          </w:p>
        </w:tc>
        <w:tc>
          <w:tcPr>
            <w:tcW w:w="567" w:type="dxa"/>
            <w:vAlign w:val="center"/>
          </w:tcPr>
          <w:p>
            <w:pPr>
              <w:adjustRightInd w:val="0"/>
              <w:snapToGrid w:val="0"/>
              <w:spacing w:line="240" w:lineRule="exact"/>
              <w:jc w:val="center"/>
              <w:rPr>
                <w:rFonts w:ascii="仿宋" w:hAnsi="仿宋" w:eastAsia="仿宋"/>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880" w:type="dxa"/>
            <w:vMerge w:val="continue"/>
            <w:vAlign w:val="center"/>
          </w:tcPr>
          <w:p>
            <w:pPr>
              <w:spacing w:line="460" w:lineRule="exact"/>
              <w:ind w:firstLine="480"/>
              <w:jc w:val="center"/>
              <w:rPr>
                <w:rFonts w:ascii="仿宋" w:hAnsi="仿宋" w:eastAsia="仿宋" w:cs="宋体"/>
                <w:color w:val="000000" w:themeColor="text1"/>
                <w:szCs w:val="21"/>
                <w:highlight w:val="none"/>
                <w14:textFill>
                  <w14:solidFill>
                    <w14:schemeClr w14:val="tx1"/>
                  </w14:solidFill>
                </w14:textFill>
              </w:rPr>
            </w:pPr>
          </w:p>
        </w:tc>
        <w:tc>
          <w:tcPr>
            <w:tcW w:w="1327"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s="宋体"/>
                <w:color w:val="000000"/>
                <w:highlight w:val="none"/>
              </w:rPr>
              <w:t>050300dc19</w:t>
            </w:r>
          </w:p>
        </w:tc>
        <w:tc>
          <w:tcPr>
            <w:tcW w:w="2642" w:type="dxa"/>
            <w:vAlign w:val="center"/>
          </w:tcPr>
          <w:p>
            <w:pPr>
              <w:adjustRightInd w:val="0"/>
              <w:snapToGrid w:val="0"/>
              <w:spacing w:line="240" w:lineRule="exact"/>
              <w:jc w:val="center"/>
              <w:rPr>
                <w:rFonts w:hint="eastAsia" w:ascii="仿宋" w:hAnsi="仿宋" w:eastAsia="仿宋"/>
                <w:szCs w:val="21"/>
                <w:highlight w:val="none"/>
              </w:rPr>
            </w:pPr>
            <w:r>
              <w:rPr>
                <w:rFonts w:hint="eastAsia" w:ascii="仿宋" w:hAnsi="仿宋" w:eastAsia="仿宋"/>
                <w:szCs w:val="21"/>
                <w:highlight w:val="none"/>
                <w:lang w:eastAsia="zh-CN"/>
              </w:rPr>
              <w:t>新疆</w:t>
            </w:r>
            <w:r>
              <w:rPr>
                <w:rFonts w:hint="eastAsia" w:ascii="仿宋" w:hAnsi="仿宋" w:eastAsia="仿宋"/>
                <w:szCs w:val="21"/>
                <w:highlight w:val="none"/>
              </w:rPr>
              <w:t>研究</w:t>
            </w:r>
          </w:p>
          <w:p>
            <w:pPr>
              <w:adjustRightInd w:val="0"/>
              <w:snapToGrid w:val="0"/>
              <w:spacing w:line="240" w:lineRule="exact"/>
              <w:jc w:val="center"/>
              <w:rPr>
                <w:rFonts w:hint="eastAsia" w:ascii="仿宋" w:hAnsi="仿宋" w:eastAsia="仿宋"/>
                <w:szCs w:val="21"/>
                <w:highlight w:val="none"/>
              </w:rPr>
            </w:pPr>
            <w:r>
              <w:rPr>
                <w:rFonts w:hint="eastAsia" w:ascii="仿宋" w:hAnsi="仿宋" w:eastAsia="仿宋"/>
                <w:szCs w:val="21"/>
                <w:highlight w:val="none"/>
              </w:rPr>
              <w:t>Xinjiang Studies</w:t>
            </w:r>
          </w:p>
        </w:tc>
        <w:tc>
          <w:tcPr>
            <w:tcW w:w="567"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color w:val="000000" w:themeColor="text1"/>
                <w:szCs w:val="21"/>
                <w:highlight w:val="none"/>
                <w:lang w:val="en-US" w:eastAsia="zh-CN"/>
                <w14:textFill>
                  <w14:solidFill>
                    <w14:schemeClr w14:val="tx1"/>
                  </w14:solidFill>
                </w14:textFill>
              </w:rPr>
              <w:t>40</w:t>
            </w:r>
          </w:p>
        </w:tc>
        <w:tc>
          <w:tcPr>
            <w:tcW w:w="42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2</w:t>
            </w:r>
          </w:p>
        </w:tc>
        <w:tc>
          <w:tcPr>
            <w:tcW w:w="712" w:type="dxa"/>
            <w:vAlign w:val="center"/>
          </w:tcPr>
          <w:p>
            <w:pPr>
              <w:spacing w:line="320" w:lineRule="exact"/>
              <w:jc w:val="center"/>
              <w:rPr>
                <w:rFonts w:ascii="仿宋" w:hAnsi="仿宋" w:eastAsia="仿宋"/>
                <w:szCs w:val="21"/>
                <w:highlight w:val="none"/>
              </w:rPr>
            </w:pPr>
            <w:r>
              <w:rPr>
                <w:rFonts w:hint="eastAsia" w:ascii="仿宋" w:hAnsi="仿宋" w:eastAsia="仿宋"/>
                <w:szCs w:val="21"/>
                <w:highlight w:val="none"/>
              </w:rPr>
              <w:t>1</w:t>
            </w:r>
          </w:p>
        </w:tc>
        <w:tc>
          <w:tcPr>
            <w:tcW w:w="854" w:type="dxa"/>
            <w:vAlign w:val="center"/>
          </w:tcPr>
          <w:p>
            <w:pPr>
              <w:widowControl/>
              <w:jc w:val="center"/>
              <w:rPr>
                <w:rFonts w:ascii="仿宋" w:hAnsi="仿宋" w:eastAsia="仿宋" w:cstheme="minorEastAsia"/>
                <w:szCs w:val="21"/>
                <w:highlight w:val="none"/>
              </w:rPr>
            </w:pPr>
            <w:r>
              <w:rPr>
                <w:rFonts w:hint="eastAsia" w:ascii="仿宋" w:hAnsi="仿宋" w:eastAsia="仿宋" w:cstheme="minorEastAsia"/>
                <w:szCs w:val="21"/>
                <w:highlight w:val="none"/>
              </w:rPr>
              <w:t>本专业点</w:t>
            </w:r>
          </w:p>
        </w:tc>
        <w:tc>
          <w:tcPr>
            <w:tcW w:w="71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考试或考察</w:t>
            </w:r>
          </w:p>
        </w:tc>
        <w:tc>
          <w:tcPr>
            <w:tcW w:w="70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选修</w:t>
            </w:r>
          </w:p>
        </w:tc>
        <w:tc>
          <w:tcPr>
            <w:tcW w:w="567" w:type="dxa"/>
            <w:vAlign w:val="center"/>
          </w:tcPr>
          <w:p>
            <w:pPr>
              <w:spacing w:line="460" w:lineRule="exact"/>
              <w:jc w:val="center"/>
              <w:rPr>
                <w:rFonts w:ascii="仿宋" w:hAnsi="仿宋" w:eastAsia="仿宋" w:cs="宋体"/>
                <w:color w:val="000000" w:themeColor="text1"/>
                <w:szCs w:val="21"/>
                <w:highlight w:val="none"/>
                <w14:textFill>
                  <w14:solidFill>
                    <w14:schemeClr w14:val="tx1"/>
                  </w14:solidFill>
                </w14:textFill>
              </w:rPr>
            </w:pPr>
          </w:p>
        </w:tc>
      </w:tr>
    </w:tbl>
    <w:p>
      <w:pPr>
        <w:spacing w:line="460" w:lineRule="exact"/>
        <w:ind w:firstLine="482" w:firstLineChars="200"/>
        <w:rPr>
          <w:rFonts w:ascii="仿宋" w:hAnsi="仿宋" w:eastAsia="仿宋" w:cs="宋体"/>
          <w:b/>
          <w:bCs/>
          <w:color w:val="000000" w:themeColor="text1"/>
          <w:sz w:val="24"/>
          <w:szCs w:val="24"/>
          <w14:textFill>
            <w14:solidFill>
              <w14:schemeClr w14:val="tx1"/>
            </w14:solidFill>
          </w14:textFill>
        </w:rPr>
      </w:pPr>
      <w:r>
        <w:rPr>
          <w:rFonts w:hint="eastAsia" w:ascii="仿宋" w:hAnsi="仿宋" w:eastAsia="仿宋" w:cs="宋体"/>
          <w:b/>
          <w:bCs/>
          <w:color w:val="000000" w:themeColor="text1"/>
          <w:sz w:val="24"/>
          <w:szCs w:val="24"/>
          <w14:textFill>
            <w14:solidFill>
              <w14:schemeClr w14:val="tx1"/>
            </w14:solidFill>
          </w14:textFill>
        </w:rPr>
        <w:t>说明：</w:t>
      </w:r>
    </w:p>
    <w:p>
      <w:pPr>
        <w:spacing w:line="460" w:lineRule="exact"/>
        <w:ind w:firstLine="480" w:firstLineChars="200"/>
        <w:rPr>
          <w:rFonts w:ascii="仿宋" w:hAnsi="仿宋" w:eastAsia="仿宋"/>
          <w:sz w:val="24"/>
          <w:szCs w:val="24"/>
        </w:rPr>
      </w:pPr>
      <w:r>
        <w:rPr>
          <w:rFonts w:hint="eastAsia" w:ascii="仿宋" w:hAnsi="仿宋" w:eastAsia="仿宋"/>
          <w:sz w:val="24"/>
          <w:szCs w:val="24"/>
        </w:rPr>
        <w:t>课程成绩采用百分制。学位课程成绩70 分或以上为合格，可以获得相应学分；非学位课程成绩 60 分为合格，可以获得相应学分。</w:t>
      </w:r>
    </w:p>
    <w:p>
      <w:pPr>
        <w:spacing w:line="460" w:lineRule="exact"/>
        <w:ind w:firstLine="482" w:firstLineChars="200"/>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六、培养计划</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bookmarkStart w:id="1" w:name="_Hlk99370312"/>
      <w:r>
        <w:rPr>
          <w:rFonts w:hint="eastAsia" w:ascii="仿宋" w:hAnsi="仿宋" w:eastAsia="仿宋"/>
          <w:color w:val="000000" w:themeColor="text1"/>
          <w:sz w:val="24"/>
          <w:szCs w:val="24"/>
          <w14:textFill>
            <w14:solidFill>
              <w14:schemeClr w14:val="tx1"/>
            </w14:solidFill>
          </w14:textFill>
        </w:rPr>
        <w:t>博士生应在入学后3个月内，根据入学当年本学科的培养方案，在导师的指导下，结合研究方向和自身特点，制订个人培养计划，并录入研究生教育综合管理系统中，经导师确认后，由学院批准备案。个人培养计划一经制订，在培养过程中必须严格按计划执行。</w:t>
      </w:r>
      <w:bookmarkEnd w:id="1"/>
    </w:p>
    <w:p>
      <w:pPr>
        <w:numPr>
          <w:ilvl w:val="0"/>
          <w:numId w:val="1"/>
        </w:numPr>
        <w:spacing w:line="460" w:lineRule="exact"/>
        <w:ind w:firstLine="482" w:firstLineChars="200"/>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开题报告</w:t>
      </w:r>
    </w:p>
    <w:p>
      <w:pPr>
        <w:spacing w:line="460" w:lineRule="exact"/>
        <w:ind w:firstLine="480"/>
        <w:rPr>
          <w:rFonts w:ascii="仿宋" w:hAnsi="仿宋" w:eastAsia="仿宋"/>
          <w:color w:val="000000" w:themeColor="text1"/>
          <w:sz w:val="24"/>
          <w:szCs w:val="24"/>
          <w14:textFill>
            <w14:solidFill>
              <w14:schemeClr w14:val="tx1"/>
            </w14:solidFill>
          </w14:textFill>
        </w:rPr>
      </w:pPr>
      <w:bookmarkStart w:id="2" w:name="_Hlk99370406"/>
      <w:r>
        <w:rPr>
          <w:rFonts w:hint="eastAsia" w:ascii="仿宋" w:hAnsi="仿宋" w:eastAsia="仿宋"/>
          <w:color w:val="000000" w:themeColor="text1"/>
          <w:sz w:val="24"/>
          <w:szCs w:val="24"/>
          <w14:textFill>
            <w14:solidFill>
              <w14:schemeClr w14:val="tx1"/>
            </w14:solidFill>
          </w14:textFill>
        </w:rPr>
        <w:t>博士生入学后的第一学期，应在导师指导下拟定研究方向和论文题目，最迟于第三学期完成学位论文开题报告。开题报告具体要求按暨南大学有关规定执行。</w:t>
      </w:r>
    </w:p>
    <w:p>
      <w:pPr>
        <w:spacing w:line="460" w:lineRule="exact"/>
        <w:ind w:firstLine="48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开题报告应就选题意义、国内外研究综述、主要研究内容、预期目标、研究方案等做出科学论证，写出书面报告，并在博士点内进行公开报告，听取专家意见并进行必要的修改和调整。论文选题应从新闻传播学科特点和研究范畴出发，选择对新闻传播学科发展具有重要理论意义和重要应用价值的研究课题。</w:t>
      </w:r>
    </w:p>
    <w:p>
      <w:pPr>
        <w:spacing w:line="460" w:lineRule="exact"/>
        <w:ind w:firstLine="480" w:firstLineChars="200"/>
        <w:rPr>
          <w:rFonts w:asciiTheme="minorEastAsia" w:hAnsiTheme="minorEastAsia" w:eastAsiaTheme="minorEastAsia"/>
          <w:b/>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经评审通过的开题报告应上传至研究生教育综合管理系统，并以书面形式提交学院研究生管理办公室备案。开题未能通过的应在至少3个月后才能重新申请开题且导师必须回避。开题报告通过者如因特殊情况须变更学位论文课题研究者，应重新进行开题报告。</w:t>
      </w:r>
      <w:bookmarkEnd w:id="2"/>
    </w:p>
    <w:p>
      <w:pPr>
        <w:spacing w:line="460" w:lineRule="exact"/>
        <w:ind w:firstLine="482" w:firstLineChars="200"/>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八、中期考核</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bookmarkStart w:id="3" w:name="_Hlk99370678"/>
      <w:r>
        <w:rPr>
          <w:rFonts w:hint="eastAsia" w:ascii="仿宋" w:hAnsi="仿宋" w:eastAsia="仿宋"/>
          <w:color w:val="000000" w:themeColor="text1"/>
          <w:sz w:val="24"/>
          <w:szCs w:val="24"/>
          <w14:textFill>
            <w14:solidFill>
              <w14:schemeClr w14:val="tx1"/>
            </w14:solidFill>
          </w14:textFill>
        </w:rPr>
        <w:t>博士生通过开题报告后，在预答辩之前要进行中期考核</w:t>
      </w:r>
      <w:r>
        <w:rPr>
          <w:rFonts w:hint="eastAsia" w:ascii="仿宋" w:hAnsi="仿宋" w:eastAsia="仿宋"/>
          <w:color w:val="000000" w:themeColor="text1"/>
          <w:sz w:val="24"/>
          <w:szCs w:val="24"/>
          <w:lang w:eastAsia="zh-CN"/>
          <w14:textFill>
            <w14:solidFill>
              <w14:schemeClr w14:val="tx1"/>
            </w14:solidFill>
          </w14:textFill>
        </w:rPr>
        <w:t>。</w:t>
      </w:r>
      <w:r>
        <w:rPr>
          <w:rFonts w:hint="eastAsia" w:ascii="仿宋" w:hAnsi="仿宋" w:eastAsia="仿宋"/>
          <w:color w:val="000000" w:themeColor="text1"/>
          <w:sz w:val="24"/>
          <w:szCs w:val="24"/>
          <w14:textFill>
            <w14:solidFill>
              <w14:schemeClr w14:val="tx1"/>
            </w14:solidFill>
          </w14:textFill>
        </w:rPr>
        <w:t>中期考核旨在对照培养方案的要求，从德智体美劳各方面对研究生的学业进展情况进行全面检查，并对其后续学业安排提出意见、建议和要求</w:t>
      </w:r>
      <w:r>
        <w:rPr>
          <w:rFonts w:hint="eastAsia" w:ascii="仿宋" w:hAnsi="仿宋" w:eastAsia="仿宋"/>
          <w:color w:val="000000" w:themeColor="text1"/>
          <w:sz w:val="24"/>
          <w:szCs w:val="24"/>
          <w:lang w:eastAsia="zh-CN"/>
          <w14:textFill>
            <w14:solidFill>
              <w14:schemeClr w14:val="tx1"/>
            </w14:solidFill>
          </w14:textFill>
        </w:rPr>
        <w:t>，</w:t>
      </w:r>
      <w:r>
        <w:rPr>
          <w:rFonts w:hint="eastAsia" w:ascii="仿宋" w:hAnsi="仿宋" w:eastAsia="仿宋"/>
          <w:color w:val="000000" w:themeColor="text1"/>
          <w:sz w:val="24"/>
          <w:szCs w:val="24"/>
          <w14:textFill>
            <w14:solidFill>
              <w14:schemeClr w14:val="tx1"/>
            </w14:solidFill>
          </w14:textFill>
        </w:rPr>
        <w:t>结合对研究方法、专业课程、必读书目内容和论文撰写情况进行笔试和面试，具体要求按暨南大学有关规定执行。</w:t>
      </w:r>
      <w:r>
        <w:rPr>
          <w:rFonts w:hint="eastAsia" w:ascii="仿宋" w:hAnsi="仿宋" w:eastAsia="仿宋"/>
          <w:color w:val="000000" w:themeColor="text1"/>
          <w:sz w:val="24"/>
          <w:szCs w:val="24"/>
          <w:lang w:eastAsia="zh-CN"/>
          <w14:textFill>
            <w14:solidFill>
              <w14:schemeClr w14:val="tx1"/>
            </w14:solidFill>
          </w14:textFill>
        </w:rPr>
        <w:t>博士中期考核</w:t>
      </w:r>
      <w:r>
        <w:rPr>
          <w:rFonts w:hint="eastAsia" w:ascii="仿宋" w:hAnsi="仿宋" w:eastAsia="仿宋"/>
          <w:sz w:val="24"/>
          <w:szCs w:val="24"/>
          <w:highlight w:val="none"/>
          <w:lang w:eastAsia="zh-CN"/>
        </w:rPr>
        <w:t>原则上不迟于第四学期完成。</w:t>
      </w:r>
    </w:p>
    <w:p>
      <w:pPr>
        <w:spacing w:line="460" w:lineRule="exact"/>
        <w:ind w:firstLine="48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中期考核的形式包括笔试和面试，各100分。考试内容为专业笔试、思想政治素质考核及学位论文写作情况汇报等，其中专业笔试主要考察对培养方案规定的研究方法、必读书目阅读情况和专业课程知识综合掌握情况，面试主要由博士生进行学位论文撰写的阶段报告。笔试与面试成绩的平均分达到75分以上（含75分）为合格。考核等级为“合格”及以上的研究生，方可参加论文预答辩，以及进入毕业、学位申请环节。</w:t>
      </w:r>
      <w:bookmarkEnd w:id="3"/>
      <w:r>
        <w:rPr>
          <w:rFonts w:hint="eastAsia" w:ascii="仿宋" w:hAnsi="仿宋" w:eastAsia="仿宋"/>
          <w:sz w:val="24"/>
          <w:szCs w:val="24"/>
          <w:highlight w:val="none"/>
          <w:lang w:eastAsia="zh-CN"/>
        </w:rPr>
        <w:t>中期考核不合格者，可在至少</w:t>
      </w:r>
      <w:r>
        <w:rPr>
          <w:rFonts w:hint="eastAsia" w:ascii="仿宋" w:hAnsi="仿宋" w:eastAsia="仿宋"/>
          <w:sz w:val="24"/>
          <w:szCs w:val="24"/>
          <w:highlight w:val="none"/>
          <w:lang w:val="en-US" w:eastAsia="zh-CN"/>
        </w:rPr>
        <w:t>3个月后重新申请中期考核。</w:t>
      </w:r>
      <w:r>
        <w:rPr>
          <w:rFonts w:hint="eastAsia" w:ascii="仿宋" w:hAnsi="仿宋" w:eastAsia="仿宋"/>
          <w:color w:val="000000" w:themeColor="text1"/>
          <w:sz w:val="24"/>
          <w:szCs w:val="24"/>
          <w14:textFill>
            <w14:solidFill>
              <w14:schemeClr w14:val="tx1"/>
            </w14:solidFill>
          </w14:textFill>
        </w:rPr>
        <w:t>博士研究生二次考核仍为不合格者，一般给予退学处理;若培养单位认为其符合硕士培养条件，可经本人申请，培养单位和研究生院均同意后，分流进入硕士研究生阶段培养。</w:t>
      </w:r>
    </w:p>
    <w:p>
      <w:pPr>
        <w:spacing w:line="460" w:lineRule="exact"/>
        <w:ind w:firstLine="480"/>
        <w:rPr>
          <w:rFonts w:ascii="仿宋" w:hAnsi="仿宋" w:eastAsia="仿宋"/>
          <w:color w:val="000000" w:themeColor="text1"/>
          <w:sz w:val="24"/>
          <w:szCs w:val="24"/>
          <w14:textFill>
            <w14:solidFill>
              <w14:schemeClr w14:val="tx1"/>
            </w14:solidFill>
          </w14:textFill>
        </w:rPr>
      </w:pPr>
    </w:p>
    <w:p>
      <w:pPr>
        <w:spacing w:line="460" w:lineRule="exact"/>
        <w:ind w:firstLine="480"/>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九、科研进展报</w:t>
      </w:r>
      <w:r>
        <w:rPr>
          <w:rFonts w:hint="eastAsia" w:asciiTheme="minorEastAsia" w:hAnsiTheme="minorEastAsia" w:eastAsiaTheme="minorEastAsia"/>
          <w:b/>
          <w:sz w:val="24"/>
          <w:szCs w:val="24"/>
        </w:rPr>
        <w:t>告</w:t>
      </w:r>
    </w:p>
    <w:p>
      <w:pPr>
        <w:spacing w:line="460" w:lineRule="exact"/>
        <w:ind w:firstLine="480" w:firstLineChars="200"/>
        <w:rPr>
          <w:rFonts w:asciiTheme="minorEastAsia" w:hAnsiTheme="minorEastAsia" w:eastAsiaTheme="minorEastAsia"/>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博士生预答辩之前须参照学位论文答辩的形式及要求，进行论文的阶段报告，并填写《暨南大学研究生科研进展阶段报告》交学院研究生管理办公室，作为学习档案归档。科研进展报告与中期考核同时进行。</w:t>
      </w:r>
    </w:p>
    <w:p>
      <w:pPr>
        <w:spacing w:line="460" w:lineRule="exact"/>
        <w:ind w:firstLine="482" w:firstLineChars="200"/>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十、教学实践</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全日制非定向博士生在校期间必须承担至少一门课程一个学期的助教工作，计1学分。具体要求按照暨南大学有关规定执行。</w:t>
      </w:r>
    </w:p>
    <w:p>
      <w:pPr>
        <w:spacing w:line="460" w:lineRule="exact"/>
        <w:ind w:firstLine="482" w:firstLineChars="200"/>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十一、博士资格考试</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无</w:t>
      </w:r>
    </w:p>
    <w:p>
      <w:pPr>
        <w:spacing w:line="460" w:lineRule="exact"/>
        <w:ind w:firstLine="482" w:firstLineChars="200"/>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十二、学位（毕业）论文</w:t>
      </w:r>
    </w:p>
    <w:p>
      <w:pPr>
        <w:spacing w:line="460" w:lineRule="exact"/>
        <w:ind w:firstLine="480" w:firstLineChars="200"/>
        <w:rPr>
          <w:rFonts w:asciiTheme="minorEastAsia" w:hAnsiTheme="minorEastAsia" w:eastAsiaTheme="minorEastAsia"/>
          <w:b/>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博士生论文工作的时间应不少于2年。</w:t>
      </w:r>
    </w:p>
    <w:p>
      <w:pPr>
        <w:pStyle w:val="16"/>
        <w:numPr>
          <w:ilvl w:val="0"/>
          <w:numId w:val="2"/>
        </w:numPr>
        <w:spacing w:line="460" w:lineRule="exact"/>
        <w:ind w:firstLineChars="0"/>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论文选题与综述的要求</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本学科的博士论文选题应从新闻传播学科特点和研究范畴出发，选择对新闻传播学科发展具有重要理论意义和重要应用价值的研究课题。选题要处理好基础性和应用性之间的关系，本学科的学位论文选题应注意与其他一级学科选题之间的区别。</w:t>
      </w:r>
    </w:p>
    <w:p>
      <w:pPr>
        <w:spacing w:line="460" w:lineRule="exact"/>
        <w:ind w:firstLine="482" w:firstLineChars="200"/>
        <w:rPr>
          <w:rFonts w:asciiTheme="minorEastAsia" w:hAnsiTheme="minorEastAsia" w:eastAsiaTheme="minorEastAsia"/>
          <w:b/>
          <w:sz w:val="24"/>
          <w:szCs w:val="24"/>
        </w:rPr>
      </w:pPr>
      <w:bookmarkStart w:id="4" w:name="_Hlk99370853"/>
      <w:r>
        <w:rPr>
          <w:rFonts w:hint="eastAsia" w:asciiTheme="minorEastAsia" w:hAnsiTheme="minorEastAsia" w:eastAsiaTheme="minorEastAsia"/>
          <w:b/>
          <w:color w:val="000000" w:themeColor="text1"/>
          <w:sz w:val="24"/>
          <w:szCs w:val="24"/>
          <w14:textFill>
            <w14:solidFill>
              <w14:schemeClr w14:val="tx1"/>
            </w14:solidFill>
          </w14:textFill>
        </w:rPr>
        <w:t>（二）学位（毕业）论文的</w:t>
      </w:r>
      <w:r>
        <w:rPr>
          <w:rFonts w:hint="eastAsia" w:asciiTheme="minorEastAsia" w:hAnsiTheme="minorEastAsia" w:eastAsiaTheme="minorEastAsia"/>
          <w:b/>
          <w:sz w:val="24"/>
          <w:szCs w:val="24"/>
        </w:rPr>
        <w:t>规范性要求</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本学科博士学位论文应当严格遵守学术规范和暨南大学学位论文基本格式。学位论文规范性包括论文写作、文献引用和综述、理论分析、实验数据及分析等多方面。</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1.学位论文写作应符合科技论文写作规范，结构合理、层次清晰、逻辑严密、语言流畅；公式、符号、单位和图表等均要符合规范。</w:t>
      </w:r>
    </w:p>
    <w:p>
      <w:pPr>
        <w:spacing w:line="460" w:lineRule="exact"/>
        <w:ind w:firstLine="480" w:firstLineChars="200"/>
        <w:rPr>
          <w:rFonts w:ascii="仿宋" w:hAnsi="仿宋" w:eastAsia="仿宋"/>
          <w:sz w:val="24"/>
          <w:szCs w:val="24"/>
        </w:rPr>
      </w:pPr>
      <w:r>
        <w:rPr>
          <w:rFonts w:hint="eastAsia" w:ascii="仿宋" w:hAnsi="仿宋" w:eastAsia="仿宋"/>
          <w:sz w:val="24"/>
          <w:szCs w:val="24"/>
        </w:rPr>
        <w:t>2.学位论文一般应包括论文课题的研究背景和任务,国内外在该研究领域的研究情况和发展趋势，重要的理论分析和原理阐述，应对文化、研究假设结果有分析和总结，并有对全文工作的总结展望和参考文献列表等内容。</w:t>
      </w:r>
    </w:p>
    <w:p>
      <w:pPr>
        <w:spacing w:line="460" w:lineRule="exact"/>
        <w:ind w:firstLine="480" w:firstLineChars="200"/>
        <w:rPr>
          <w:rFonts w:ascii="仿宋" w:hAnsi="仿宋" w:eastAsia="仿宋"/>
          <w:sz w:val="24"/>
          <w:szCs w:val="24"/>
        </w:rPr>
      </w:pPr>
      <w:r>
        <w:rPr>
          <w:rFonts w:hint="eastAsia" w:ascii="仿宋" w:hAnsi="仿宋" w:eastAsia="仿宋"/>
          <w:sz w:val="24"/>
          <w:szCs w:val="24"/>
        </w:rPr>
        <w:t>3.学位论文文献引用要准确、恰当，要引述具有代表性的文献，还要注意找到最原始的文献，避免过多的转引。文献引用要有必要性，所列文献的观点或材料应当与论文内容匹配，避免虚列；文献综述和评价应客观、公正，不抬高、不贬低。</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4.学位论文理论分析应系统而深入，原理阐述准确而清晰。</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5.实验方法要合理，实验数据要可靠，要对实验结果有深入分析和明确的结论。</w:t>
      </w:r>
      <w:bookmarkEnd w:id="4"/>
    </w:p>
    <w:p>
      <w:pPr>
        <w:spacing w:line="460" w:lineRule="exact"/>
        <w:ind w:left="472"/>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（三）学位（毕业）论文的成果创新性要求</w:t>
      </w:r>
    </w:p>
    <w:p>
      <w:pPr>
        <w:spacing w:line="460" w:lineRule="exact"/>
        <w:ind w:firstLine="480" w:firstLineChars="200"/>
        <w:rPr>
          <w:rFonts w:ascii="仿宋" w:hAnsi="仿宋" w:eastAsia="仿宋"/>
          <w:sz w:val="24"/>
          <w:szCs w:val="24"/>
        </w:rPr>
      </w:pPr>
      <w:r>
        <w:rPr>
          <w:rFonts w:hint="eastAsia" w:ascii="仿宋" w:hAnsi="仿宋" w:eastAsia="仿宋"/>
          <w:sz w:val="24"/>
          <w:szCs w:val="24"/>
        </w:rPr>
        <w:t>本学科博士学位论文的成果创新性的要求体现在选题的价值性、材料的可靠性、方法的恰当性、研究论证的严密性、结果的独特性等方面。有价值的选题往往从根本上决定着成果的创新性。因此，本学科博士研究生应当在深入研究、充分调研和思考的基础上确定选题。论文中相关内容与数据是体现成果创新性的基本依据，创新性成果应当具备真实可靠的内容与数据。解决问题的方法和相关论证决定着论文的基本质量，论文中论证的严密性主要体现在概念使用的准确性、观点和数据的统一性、语言表达的逻辑性、篇章结构的合理性等方面。本学科博士学位论文应在新闻传播学领域对相关重要理论的发展和重要新闻传播现象的发现研究中有所突破，创新性成果应是在所研究领域提出和发现新理论与新方法、探索新现象，获得新结果等。</w:t>
      </w:r>
    </w:p>
    <w:p>
      <w:pPr>
        <w:spacing w:line="460" w:lineRule="exact"/>
        <w:ind w:firstLine="480" w:firstLineChars="200"/>
        <w:rPr>
          <w:rFonts w:ascii="仿宋" w:hAnsi="仿宋" w:eastAsia="仿宋"/>
          <w:sz w:val="24"/>
          <w:szCs w:val="24"/>
        </w:rPr>
      </w:pPr>
      <w:r>
        <w:rPr>
          <w:rFonts w:hint="eastAsia" w:ascii="仿宋" w:hAnsi="仿宋" w:eastAsia="仿宋"/>
          <w:sz w:val="24"/>
          <w:szCs w:val="24"/>
        </w:rPr>
        <w:t>本学科博士学位论文创新性成果的体现方式包括发表在本学科领域的国际期刊、国内核心期刊或暨南大学规定的其它刊物的学术论文，以及能证明其获得自主知识产权的研究成果等。</w:t>
      </w:r>
    </w:p>
    <w:p>
      <w:pPr>
        <w:spacing w:line="460" w:lineRule="exact"/>
        <w:ind w:firstLine="472" w:firstLineChars="196"/>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（四）学位（毕业）论文预答辩与答辩要求</w:t>
      </w:r>
      <w:bookmarkStart w:id="5" w:name="_Hlk99370883"/>
    </w:p>
    <w:p>
      <w:pPr>
        <w:spacing w:line="460" w:lineRule="exact"/>
        <w:ind w:firstLine="470" w:firstLineChars="196"/>
        <w:rPr>
          <w:rFonts w:ascii="仿宋" w:hAnsi="仿宋" w:eastAsia="仿宋"/>
          <w:sz w:val="24"/>
          <w:szCs w:val="24"/>
        </w:rPr>
      </w:pPr>
      <w:r>
        <w:rPr>
          <w:rFonts w:hint="eastAsia" w:ascii="仿宋" w:hAnsi="仿宋" w:eastAsia="仿宋"/>
          <w:sz w:val="24"/>
          <w:szCs w:val="24"/>
        </w:rPr>
        <w:t>博士研究生在学位（毕业）论文答辩前，需按要求完成预答辩。预答辩和答辩要求和流程按暨南大学及本学科有关规定执行。</w:t>
      </w:r>
      <w:bookmarkEnd w:id="5"/>
    </w:p>
    <w:p>
      <w:pPr>
        <w:spacing w:line="460" w:lineRule="exact"/>
        <w:ind w:firstLine="482" w:firstLineChars="200"/>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十三、在学期间科研成果要求</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按照文学分委会有关规定执行。</w:t>
      </w:r>
    </w:p>
    <w:p>
      <w:pPr>
        <w:spacing w:line="460" w:lineRule="exact"/>
        <w:ind w:firstLine="482" w:firstLineChars="200"/>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十四、毕业与授予学位标准</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bookmarkStart w:id="6" w:name="_Hlk99371336"/>
      <w:r>
        <w:rPr>
          <w:rFonts w:hint="eastAsia" w:ascii="仿宋" w:hAnsi="仿宋" w:eastAsia="仿宋"/>
          <w:color w:val="000000" w:themeColor="text1"/>
          <w:sz w:val="24"/>
          <w:szCs w:val="24"/>
          <w14:textFill>
            <w14:solidFill>
              <w14:schemeClr w14:val="tx1"/>
            </w14:solidFill>
          </w14:textFill>
        </w:rPr>
        <w:t>毕业与授予学位标准按照《暨南大学学位授予工作实施细则》有关规定进行。</w:t>
      </w:r>
      <w:bookmarkEnd w:id="6"/>
    </w:p>
    <w:p>
      <w:pPr>
        <w:spacing w:line="460" w:lineRule="exact"/>
        <w:ind w:firstLine="482" w:firstLineChars="200"/>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十五、</w:t>
      </w:r>
      <w:r>
        <w:rPr>
          <w:rFonts w:asciiTheme="minorEastAsia" w:hAnsiTheme="minorEastAsia" w:eastAsiaTheme="minorEastAsia"/>
          <w:b/>
          <w:color w:val="000000" w:themeColor="text1"/>
          <w:sz w:val="24"/>
          <w:szCs w:val="24"/>
          <w14:textFill>
            <w14:solidFill>
              <w14:schemeClr w14:val="tx1"/>
            </w14:solidFill>
          </w14:textFill>
        </w:rPr>
        <w:t>必读书目</w:t>
      </w:r>
    </w:p>
    <w:tbl>
      <w:tblPr>
        <w:tblStyle w:val="7"/>
        <w:tblW w:w="9040" w:type="dxa"/>
        <w:jc w:val="center"/>
        <w:tblLayout w:type="autofit"/>
        <w:tblCellMar>
          <w:top w:w="0" w:type="dxa"/>
          <w:left w:w="108" w:type="dxa"/>
          <w:bottom w:w="0" w:type="dxa"/>
          <w:right w:w="108" w:type="dxa"/>
        </w:tblCellMar>
      </w:tblPr>
      <w:tblGrid>
        <w:gridCol w:w="714"/>
        <w:gridCol w:w="2977"/>
        <w:gridCol w:w="2060"/>
        <w:gridCol w:w="2126"/>
        <w:gridCol w:w="1163"/>
      </w:tblGrid>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b/>
                <w:bCs/>
                <w:kern w:val="0"/>
              </w:rPr>
            </w:pPr>
            <w:r>
              <w:rPr>
                <w:rFonts w:hint="eastAsia" w:ascii="仿宋" w:hAnsi="仿宋" w:eastAsia="仿宋" w:cs="宋体"/>
                <w:b/>
                <w:bCs/>
                <w:kern w:val="0"/>
              </w:rPr>
              <w:t>序号</w:t>
            </w:r>
          </w:p>
        </w:tc>
        <w:tc>
          <w:tcPr>
            <w:tcW w:w="2977"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仿宋" w:hAnsi="仿宋" w:eastAsia="仿宋" w:cs="宋体"/>
                <w:b/>
                <w:bCs/>
                <w:kern w:val="0"/>
              </w:rPr>
            </w:pPr>
            <w:r>
              <w:rPr>
                <w:rFonts w:hint="eastAsia" w:ascii="仿宋" w:hAnsi="仿宋" w:eastAsia="仿宋" w:cs="宋体"/>
                <w:b/>
                <w:bCs/>
                <w:kern w:val="0"/>
              </w:rPr>
              <w:t>书名</w:t>
            </w:r>
          </w:p>
        </w:tc>
        <w:tc>
          <w:tcPr>
            <w:tcW w:w="206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仿宋" w:hAnsi="仿宋" w:eastAsia="仿宋" w:cs="宋体"/>
                <w:b/>
                <w:bCs/>
                <w:kern w:val="0"/>
              </w:rPr>
            </w:pPr>
            <w:r>
              <w:rPr>
                <w:rFonts w:hint="eastAsia" w:ascii="仿宋" w:hAnsi="仿宋" w:eastAsia="仿宋" w:cs="宋体"/>
                <w:b/>
                <w:bCs/>
                <w:kern w:val="0"/>
              </w:rPr>
              <w:t>作者</w:t>
            </w:r>
          </w:p>
        </w:tc>
        <w:tc>
          <w:tcPr>
            <w:tcW w:w="212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仿宋" w:hAnsi="仿宋" w:eastAsia="仿宋" w:cs="宋体"/>
                <w:b/>
                <w:bCs/>
                <w:kern w:val="0"/>
              </w:rPr>
            </w:pPr>
            <w:r>
              <w:rPr>
                <w:rFonts w:hint="eastAsia" w:ascii="仿宋" w:hAnsi="仿宋" w:eastAsia="仿宋" w:cs="宋体"/>
                <w:b/>
                <w:bCs/>
                <w:kern w:val="0"/>
              </w:rPr>
              <w:t>出版社</w:t>
            </w:r>
          </w:p>
        </w:tc>
        <w:tc>
          <w:tcPr>
            <w:tcW w:w="1163"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仿宋" w:hAnsi="仿宋" w:eastAsia="仿宋" w:cs="宋体"/>
                <w:b/>
                <w:bCs/>
                <w:kern w:val="0"/>
              </w:rPr>
            </w:pPr>
            <w:r>
              <w:rPr>
                <w:rFonts w:hint="eastAsia" w:ascii="仿宋" w:hAnsi="仿宋" w:eastAsia="仿宋" w:cs="宋体"/>
                <w:b/>
                <w:bCs/>
                <w:kern w:val="0"/>
              </w:rPr>
              <w:t>出版日期</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1</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中国新闻事业通史（第1-3卷）</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方汉奇</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中国人民大学出版社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1996年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社会化媒体理论与实践</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彭兰</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中国人民大学出版社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2015年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3</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传播的观念</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陈卫星</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人民出版社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2004年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4</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范式的变更：新报刊史书写</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黄旦</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上海交通大学出版社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2018年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5</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传播政治经济学经典文献选读</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姚建华</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商务印书馆</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2019年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6</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文化遗产导论</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王晨、王媛</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清华大学出版社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2016年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7</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人工智能哲学</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董军</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科学出版社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2011年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8</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符号学：原理与推演</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赵毅衡</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南京大学出版社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2016年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9</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质的研究方法与社会科学研究</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陈向明</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教育科学出版社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2006年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10</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文化反哺：变迁社会中的代际革命</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周晓虹</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商务印书馆</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2015年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11</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麦奎尔大众传播理论（第五版）</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（英）丹尼斯·麦奎尔</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清华大学出版社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2010年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12</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网络社会的崛起</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（美）曼纽尔</w:t>
            </w:r>
            <w:r>
              <w:rPr>
                <w:rFonts w:hint="eastAsia" w:ascii="仿宋" w:hAnsi="宋体" w:eastAsia="宋体" w:cs="宋体"/>
                <w:kern w:val="0"/>
              </w:rPr>
              <w:t>•</w:t>
            </w:r>
            <w:r>
              <w:rPr>
                <w:rFonts w:hint="eastAsia" w:ascii="仿宋" w:hAnsi="仿宋" w:eastAsia="仿宋" w:cs="仿宋"/>
                <w:kern w:val="0"/>
              </w:rPr>
              <w:t>卡斯特著，夏铸九、</w:t>
            </w:r>
            <w:r>
              <w:rPr>
                <w:rFonts w:hint="eastAsia" w:ascii="仿宋" w:hAnsi="仿宋" w:eastAsia="仿宋" w:cs="宋体"/>
                <w:kern w:val="0"/>
              </w:rPr>
              <w:t>王志弘译</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社会科学文献出版</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2001年</w:t>
            </w:r>
          </w:p>
        </w:tc>
      </w:tr>
      <w:tr>
        <w:tblPrEx>
          <w:tblCellMar>
            <w:top w:w="0" w:type="dxa"/>
            <w:left w:w="108" w:type="dxa"/>
            <w:bottom w:w="0" w:type="dxa"/>
            <w:right w:w="108" w:type="dxa"/>
          </w:tblCellMar>
        </w:tblPrEx>
        <w:trPr>
          <w:trHeight w:val="9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13</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媒介学引论</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（英）德布雷著，刘文玲译</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中国传媒大学出版社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2014年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14</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新媒介：关键概念</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（英）尼古拉斯·盖恩、戴维·比尔著，刘君、周竞男译</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复旦大学出版社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2015年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15</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媒介、社会与世界：社会理论与数字媒介实践</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（英）库尔德利著，何道宽译</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复旦大学出版社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2014年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16</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文化与社会的媒介化</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（丹麦）施蒂格·夏瓦著，刘君译</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复旦大学出版社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2018年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17</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奇云：媒介即存有</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（美）彼得斯著，邓建国译</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复旦大学出版社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2020年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ascii="仿宋" w:hAnsi="仿宋" w:eastAsia="仿宋" w:cs="宋体"/>
                <w:kern w:val="0"/>
              </w:rPr>
              <w:t>1</w:t>
            </w:r>
            <w:r>
              <w:rPr>
                <w:rFonts w:hint="eastAsia" w:ascii="仿宋" w:hAnsi="仿宋" w:eastAsia="仿宋" w:cs="宋体"/>
                <w:kern w:val="0"/>
              </w:rPr>
              <w:t>8</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媒介考古学</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胡塔莫、帕里卡著，唐海江译</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复旦大学出版社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2018年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19</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法理学法律学哲学与法律方法</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（美）E·博登海默著，邓正来译</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中国政法大学出版社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2004年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社会学研究方法（第十一版）</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（美）艾尔·巴比著，邱泽奇译</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华夏出版社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2018年</w:t>
            </w:r>
          </w:p>
        </w:tc>
      </w:tr>
      <w:tr>
        <w:tblPrEx>
          <w:tblCellMar>
            <w:top w:w="0" w:type="dxa"/>
            <w:left w:w="108" w:type="dxa"/>
            <w:bottom w:w="0" w:type="dxa"/>
            <w:right w:w="108" w:type="dxa"/>
          </w:tblCellMar>
        </w:tblPrEx>
        <w:trPr>
          <w:trHeight w:val="39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21</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建构扎根理论：质性研究实践指南</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（美）凯西·卡麦兹著，边国英译</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重庆大学出版社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2009年版，2021年第9次印刷</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22</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媒介与传播研究方法</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（美）阿瑟·阿萨·伯格著，张磊译</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中国传媒大学出版社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2021年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23</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传播统计法：定量研究操作指南（第5版）</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（美）威廉姆斯、蒙日著，苏林森译</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清华大学出版社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2011年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ascii="仿宋" w:hAnsi="仿宋" w:eastAsia="仿宋" w:cs="宋体"/>
                <w:kern w:val="0"/>
              </w:rPr>
              <w:t>2</w:t>
            </w:r>
            <w:r>
              <w:rPr>
                <w:rFonts w:hint="eastAsia" w:ascii="仿宋" w:hAnsi="仿宋" w:eastAsia="仿宋" w:cs="宋体"/>
                <w:kern w:val="0"/>
              </w:rPr>
              <w:t>4</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形象的修辞——广告与当代社会理论</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（法）罗兰·巴尔特、让·鲍德里亚等</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中国人民大学出版社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2005年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25</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作为变革动因的印刷机：早期近代欧洲的传播与文化变革</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（美）伊丽莎白</w:t>
            </w:r>
            <w:r>
              <w:rPr>
                <w:rFonts w:hint="eastAsia" w:ascii="仿宋" w:hAnsi="宋体" w:eastAsia="宋体" w:cs="宋体"/>
                <w:kern w:val="0"/>
              </w:rPr>
              <w:t>•</w:t>
            </w:r>
            <w:r>
              <w:rPr>
                <w:rFonts w:hint="eastAsia" w:ascii="仿宋" w:hAnsi="仿宋" w:eastAsia="仿宋" w:cs="仿宋"/>
                <w:kern w:val="0"/>
              </w:rPr>
              <w:t>爱森斯坦</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北京大学出版社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2010年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ascii="仿宋" w:hAnsi="仿宋" w:eastAsia="仿宋" w:cs="宋体"/>
                <w:kern w:val="0"/>
              </w:rPr>
              <w:t>2</w:t>
            </w:r>
            <w:r>
              <w:rPr>
                <w:rFonts w:hint="eastAsia" w:ascii="仿宋" w:hAnsi="仿宋" w:eastAsia="仿宋" w:cs="宋体"/>
                <w:kern w:val="0"/>
              </w:rPr>
              <w:t>6</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文明的进程</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（德）埃利亚斯</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上海译文出版社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2018年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27</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color w:val="000000"/>
                <w:kern w:val="0"/>
              </w:rPr>
            </w:pPr>
            <w:r>
              <w:rPr>
                <w:rFonts w:hint="eastAsia" w:ascii="仿宋" w:hAnsi="仿宋" w:eastAsia="仿宋" w:cs="宋体"/>
                <w:color w:val="000000"/>
                <w:kern w:val="0"/>
              </w:rPr>
              <w:t>广告调查：理论与实务</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color w:val="000000"/>
                <w:kern w:val="0"/>
              </w:rPr>
            </w:pPr>
            <w:r>
              <w:rPr>
                <w:rFonts w:hint="eastAsia" w:ascii="仿宋" w:hAnsi="仿宋" w:eastAsia="仿宋" w:cs="宋体"/>
                <w:color w:val="000000"/>
                <w:kern w:val="0"/>
              </w:rPr>
              <w:t>（美）乔尔·J·戴维斯</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color w:val="000000"/>
                <w:kern w:val="0"/>
              </w:rPr>
            </w:pPr>
            <w:r>
              <w:rPr>
                <w:rFonts w:hint="eastAsia" w:ascii="仿宋" w:hAnsi="仿宋" w:eastAsia="仿宋" w:cs="宋体"/>
                <w:color w:val="000000"/>
                <w:kern w:val="0"/>
              </w:rPr>
              <w:t>中国人民大学出版社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color w:val="000000"/>
                <w:kern w:val="0"/>
              </w:rPr>
            </w:pPr>
            <w:r>
              <w:rPr>
                <w:rFonts w:hint="eastAsia" w:ascii="仿宋" w:hAnsi="仿宋" w:eastAsia="仿宋" w:cs="宋体"/>
                <w:color w:val="000000"/>
                <w:kern w:val="0"/>
              </w:rPr>
              <w:t>2016年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28</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The Sociological Imagination</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Mills, C. W</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Oxford, UK: Oxford University Press</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2000年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29</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Communications and Mobility: The Migrant, the Mobile Phone, and the Container Box</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David Morley</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Wiley-Blackwell</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2017年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30</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Cultural Studies and the Study of Popular Culture(8th edition)</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John Storey</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Rutledge</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2018年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31</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视觉修辞学</w:t>
            </w:r>
          </w:p>
        </w:tc>
        <w:tc>
          <w:tcPr>
            <w:tcW w:w="206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刘涛</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北京大学出版社</w:t>
            </w:r>
          </w:p>
        </w:tc>
        <w:tc>
          <w:tcPr>
            <w:tcW w:w="1163"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2021年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32</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西方媒介文化理论研究</w:t>
            </w:r>
          </w:p>
        </w:tc>
        <w:tc>
          <w:tcPr>
            <w:tcW w:w="206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曾一果</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学习出版社</w:t>
            </w:r>
          </w:p>
        </w:tc>
        <w:tc>
          <w:tcPr>
            <w:tcW w:w="1163"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201</w:t>
            </w:r>
            <w:r>
              <w:rPr>
                <w:rFonts w:ascii="仿宋" w:hAnsi="仿宋" w:eastAsia="仿宋" w:cs="宋体"/>
                <w:color w:val="000000"/>
                <w:kern w:val="0"/>
              </w:rPr>
              <w:t>7</w:t>
            </w:r>
            <w:r>
              <w:rPr>
                <w:rFonts w:hint="eastAsia" w:ascii="仿宋" w:hAnsi="仿宋" w:eastAsia="仿宋" w:cs="宋体"/>
                <w:color w:val="000000"/>
                <w:kern w:val="0"/>
              </w:rPr>
              <w:t>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33</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华夏传播理论</w:t>
            </w:r>
          </w:p>
        </w:tc>
        <w:tc>
          <w:tcPr>
            <w:tcW w:w="206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郝培仁、姚锦云</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浙江大学出版社</w:t>
            </w:r>
          </w:p>
        </w:tc>
        <w:tc>
          <w:tcPr>
            <w:tcW w:w="1163"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2020年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3</w:t>
            </w:r>
            <w:r>
              <w:rPr>
                <w:rFonts w:hint="eastAsia" w:ascii="仿宋" w:hAnsi="仿宋" w:eastAsia="仿宋" w:cs="宋体"/>
                <w:color w:val="000000"/>
                <w:kern w:val="0"/>
                <w:lang w:val="en-US" w:eastAsia="zh-CN"/>
              </w:rPr>
              <w:t>4</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中国古代符号思想史论</w:t>
            </w:r>
          </w:p>
        </w:tc>
        <w:tc>
          <w:tcPr>
            <w:tcW w:w="206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祝东</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科学出版社</w:t>
            </w:r>
          </w:p>
        </w:tc>
        <w:tc>
          <w:tcPr>
            <w:tcW w:w="1163"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2021年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3</w:t>
            </w:r>
            <w:r>
              <w:rPr>
                <w:rFonts w:hint="eastAsia" w:ascii="仿宋" w:hAnsi="仿宋" w:eastAsia="仿宋" w:cs="宋体"/>
                <w:color w:val="000000"/>
                <w:kern w:val="0"/>
                <w:lang w:val="en-US" w:eastAsia="zh-CN"/>
              </w:rPr>
              <w:t>5</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流行文化研究：方法与个案</w:t>
            </w:r>
          </w:p>
        </w:tc>
        <w:tc>
          <w:tcPr>
            <w:tcW w:w="206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张潇潇</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暨南大学出版社</w:t>
            </w:r>
          </w:p>
        </w:tc>
        <w:tc>
          <w:tcPr>
            <w:tcW w:w="1163"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2020年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3</w:t>
            </w:r>
            <w:r>
              <w:rPr>
                <w:rFonts w:hint="eastAsia" w:ascii="仿宋" w:hAnsi="仿宋" w:eastAsia="仿宋" w:cs="宋体"/>
                <w:color w:val="000000"/>
                <w:kern w:val="0"/>
                <w:lang w:val="en-US" w:eastAsia="zh-CN"/>
              </w:rPr>
              <w:t>6</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话语·叙事·伦理：当代广告与网络传播的审思与批判</w:t>
            </w:r>
          </w:p>
        </w:tc>
        <w:tc>
          <w:tcPr>
            <w:tcW w:w="206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杨先顺</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暨南大学出版社</w:t>
            </w:r>
          </w:p>
        </w:tc>
        <w:tc>
          <w:tcPr>
            <w:tcW w:w="1163"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2020年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lang w:val="en-US" w:eastAsia="zh-CN"/>
              </w:rPr>
              <w:t>37</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新报刊史书写</w:t>
            </w:r>
          </w:p>
        </w:tc>
        <w:tc>
          <w:tcPr>
            <w:tcW w:w="206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黄旦</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上海交通大学出版社</w:t>
            </w:r>
          </w:p>
        </w:tc>
        <w:tc>
          <w:tcPr>
            <w:tcW w:w="1163"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2018年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38</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重访灰色地带:传播研究史的书写与记忆</w:t>
            </w:r>
          </w:p>
        </w:tc>
        <w:tc>
          <w:tcPr>
            <w:tcW w:w="206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刘海龙</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北京大学</w:t>
            </w:r>
          </w:p>
        </w:tc>
        <w:tc>
          <w:tcPr>
            <w:tcW w:w="1163"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2015年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39</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美国传播思想史</w:t>
            </w:r>
          </w:p>
        </w:tc>
        <w:tc>
          <w:tcPr>
            <w:tcW w:w="206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胡翼青，张军芳</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复旦大学出版社</w:t>
            </w:r>
          </w:p>
        </w:tc>
        <w:tc>
          <w:tcPr>
            <w:tcW w:w="1163"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2019年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40</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记忆的纹理：媒介、创伤与南京大屠杀</w:t>
            </w:r>
          </w:p>
        </w:tc>
        <w:tc>
          <w:tcPr>
            <w:tcW w:w="206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李红涛，黄顺铭</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中国人民大学出版社</w:t>
            </w:r>
          </w:p>
        </w:tc>
        <w:tc>
          <w:tcPr>
            <w:tcW w:w="1163"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2017年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eastAsia" w:ascii="仿宋" w:hAnsi="仿宋" w:eastAsia="仿宋" w:cs="宋体"/>
                <w:color w:val="000000"/>
                <w:kern w:val="0"/>
                <w:lang w:val="en-US" w:eastAsia="zh-CN"/>
              </w:rPr>
            </w:pPr>
            <w:r>
              <w:rPr>
                <w:rFonts w:hint="eastAsia" w:ascii="仿宋" w:hAnsi="仿宋" w:eastAsia="仿宋" w:cs="宋体"/>
                <w:color w:val="000000"/>
                <w:kern w:val="0"/>
              </w:rPr>
              <w:t>4</w:t>
            </w:r>
            <w:r>
              <w:rPr>
                <w:rFonts w:hint="eastAsia" w:ascii="仿宋" w:hAnsi="仿宋" w:eastAsia="仿宋" w:cs="宋体"/>
                <w:color w:val="000000"/>
                <w:kern w:val="0"/>
                <w:lang w:val="en-US" w:eastAsia="zh-CN"/>
              </w:rPr>
              <w:t>1</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质的研究方法与社会科学研究</w:t>
            </w:r>
          </w:p>
        </w:tc>
        <w:tc>
          <w:tcPr>
            <w:tcW w:w="206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陈向明</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教育科学出版社</w:t>
            </w:r>
          </w:p>
        </w:tc>
        <w:tc>
          <w:tcPr>
            <w:tcW w:w="1163"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2006年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42</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传播与媒介文化研究方法</w:t>
            </w:r>
          </w:p>
        </w:tc>
        <w:tc>
          <w:tcPr>
            <w:tcW w:w="206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王颖吉</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北京大学出版社</w:t>
            </w:r>
          </w:p>
        </w:tc>
        <w:tc>
          <w:tcPr>
            <w:tcW w:w="1163"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2017年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43</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文化反哺：变迁社会中的代际革命</w:t>
            </w:r>
          </w:p>
        </w:tc>
        <w:tc>
          <w:tcPr>
            <w:tcW w:w="206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周晓虹</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商务印书馆</w:t>
            </w:r>
          </w:p>
        </w:tc>
        <w:tc>
          <w:tcPr>
            <w:tcW w:w="1163"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w:t>
            </w:r>
            <w:r>
              <w:rPr>
                <w:rFonts w:ascii="仿宋" w:hAnsi="仿宋" w:eastAsia="仿宋" w:cs="宋体"/>
                <w:color w:val="000000"/>
                <w:kern w:val="0"/>
              </w:rPr>
              <w:t>015</w:t>
            </w:r>
            <w:r>
              <w:rPr>
                <w:rFonts w:hint="eastAsia" w:ascii="仿宋" w:hAnsi="仿宋" w:eastAsia="仿宋" w:cs="宋体"/>
                <w:color w:val="000000"/>
                <w:kern w:val="0"/>
              </w:rPr>
              <w:t>年</w:t>
            </w:r>
          </w:p>
        </w:tc>
      </w:tr>
    </w:tbl>
    <w:p>
      <w:pPr>
        <w:spacing w:line="460" w:lineRule="exact"/>
        <w:ind w:firstLine="482" w:firstLineChars="200"/>
        <w:rPr>
          <w:rFonts w:cs="宋体" w:asciiTheme="minorEastAsia" w:hAnsiTheme="minorEastAsia" w:eastAsiaTheme="minorEastAsia"/>
          <w:color w:val="000000" w:themeColor="text1"/>
          <w:sz w:val="24"/>
          <w:szCs w:val="24"/>
          <w14:textFill>
            <w14:solidFill>
              <w14:schemeClr w14:val="tx1"/>
            </w14:solidFill>
          </w14:textFill>
        </w:rPr>
      </w:pPr>
      <w:bookmarkStart w:id="7" w:name="_GoBack"/>
      <w:bookmarkEnd w:id="7"/>
      <w:r>
        <w:rPr>
          <w:rFonts w:hint="eastAsia" w:asciiTheme="minorEastAsia" w:hAnsiTheme="minorEastAsia" w:eastAsiaTheme="minorEastAsia"/>
          <w:b/>
          <w:color w:val="000000" w:themeColor="text1"/>
          <w:sz w:val="24"/>
          <w:szCs w:val="24"/>
          <w14:textFill>
            <w14:solidFill>
              <w14:schemeClr w14:val="tx1"/>
            </w14:solidFill>
          </w14:textFill>
        </w:rPr>
        <w:t>十六、其他要求</w:t>
      </w:r>
    </w:p>
    <w:p>
      <w:pPr>
        <w:spacing w:line="460" w:lineRule="exact"/>
        <w:ind w:firstLine="48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（一）学术分享会</w:t>
      </w:r>
    </w:p>
    <w:p>
      <w:pPr>
        <w:spacing w:line="460" w:lineRule="exact"/>
        <w:ind w:firstLine="48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本学科要求博士生在入学后1年内，在学位点内向同年级博士生进行至少一次学术报告（学术分享会），并参加其他博士生的学术分享会，于第三学期向导师提交1篇不少于3000字的分享会心得体会。学术分享会为每个博士生必选环节，不计学分。</w:t>
      </w:r>
    </w:p>
    <w:p>
      <w:pPr>
        <w:spacing w:line="460" w:lineRule="exact"/>
        <w:ind w:firstLine="480"/>
        <w:rPr>
          <w:rFonts w:cs="宋体" w:asciiTheme="minorEastAsia" w:hAnsiTheme="minorEastAsia" w:eastAsiaTheme="minorEastAsia"/>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（二）本培养方案适用20</w:t>
      </w:r>
      <w:r>
        <w:rPr>
          <w:rFonts w:ascii="仿宋" w:hAnsi="仿宋" w:eastAsia="仿宋"/>
          <w:color w:val="000000" w:themeColor="text1"/>
          <w:sz w:val="24"/>
          <w:szCs w:val="24"/>
          <w14:textFill>
            <w14:solidFill>
              <w14:schemeClr w14:val="tx1"/>
            </w14:solidFill>
          </w14:textFill>
        </w:rPr>
        <w:t>22</w:t>
      </w:r>
      <w:r>
        <w:rPr>
          <w:rFonts w:hint="eastAsia" w:ascii="仿宋" w:hAnsi="仿宋" w:eastAsia="仿宋"/>
          <w:color w:val="000000" w:themeColor="text1"/>
          <w:sz w:val="24"/>
          <w:szCs w:val="24"/>
          <w14:textFill>
            <w14:solidFill>
              <w14:schemeClr w14:val="tx1"/>
            </w14:solidFill>
          </w14:textFill>
        </w:rPr>
        <w:t>级及以后年级新闻传播学一级学科博士研究生。</w:t>
      </w:r>
    </w:p>
    <w:p>
      <w:pPr>
        <w:spacing w:line="460" w:lineRule="exact"/>
        <w:ind w:firstLine="3240" w:firstLineChars="1350"/>
        <w:rPr>
          <w:rFonts w:asciiTheme="minorEastAsia" w:hAnsiTheme="minorEastAsia" w:eastAsiaTheme="minorEastAsia"/>
          <w:color w:val="000000" w:themeColor="text1"/>
          <w:sz w:val="24"/>
          <w:szCs w:val="24"/>
          <w14:textFill>
            <w14:solidFill>
              <w14:schemeClr w14:val="tx1"/>
            </w14:solidFill>
          </w14:textFill>
        </w:rPr>
      </w:pPr>
    </w:p>
    <w:sectPr>
      <w:headerReference r:id="rId5" w:type="first"/>
      <w:footerReference r:id="rId8" w:type="first"/>
      <w:headerReference r:id="rId3" w:type="default"/>
      <w:footerReference r:id="rId6" w:type="default"/>
      <w:headerReference r:id="rId4" w:type="even"/>
      <w:footerReference r:id="rId7" w:type="even"/>
      <w:pgSz w:w="11906" w:h="16838"/>
      <w:pgMar w:top="1134" w:right="1797" w:bottom="136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方正小标宋简体">
    <w:altName w:val="方正舒体"/>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
    </w:sdtPr>
    <w:sdtContent>
      <w:p>
        <w:pPr>
          <w:pStyle w:val="4"/>
          <w:jc w:val="center"/>
        </w:pPr>
        <w:r>
          <w:fldChar w:fldCharType="begin"/>
        </w:r>
        <w:r>
          <w:instrText xml:space="preserve">PAGE   \* MERGEFORMAT</w:instrText>
        </w:r>
        <w:r>
          <w:fldChar w:fldCharType="separate"/>
        </w:r>
        <w:r>
          <w:rPr>
            <w:lang w:val="zh-CN"/>
          </w:rPr>
          <w:t>7</w:t>
        </w:r>
        <w:r>
          <w:fldChar w:fldCharType="end"/>
        </w:r>
      </w:p>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9B1EA9"/>
    <w:multiLevelType w:val="multilevel"/>
    <w:tmpl w:val="119B1EA9"/>
    <w:lvl w:ilvl="0" w:tentative="0">
      <w:start w:val="1"/>
      <w:numFmt w:val="japaneseCounting"/>
      <w:lvlText w:val="（%1）"/>
      <w:lvlJc w:val="left"/>
      <w:pPr>
        <w:ind w:left="1237" w:hanging="765"/>
      </w:pPr>
      <w:rPr>
        <w:rFonts w:hint="default"/>
      </w:rPr>
    </w:lvl>
    <w:lvl w:ilvl="1" w:tentative="0">
      <w:start w:val="1"/>
      <w:numFmt w:val="lowerLetter"/>
      <w:lvlText w:val="%2)"/>
      <w:lvlJc w:val="left"/>
      <w:pPr>
        <w:ind w:left="1312" w:hanging="420"/>
      </w:pPr>
    </w:lvl>
    <w:lvl w:ilvl="2" w:tentative="0">
      <w:start w:val="1"/>
      <w:numFmt w:val="lowerRoman"/>
      <w:lvlText w:val="%3."/>
      <w:lvlJc w:val="right"/>
      <w:pPr>
        <w:ind w:left="1732" w:hanging="420"/>
      </w:pPr>
    </w:lvl>
    <w:lvl w:ilvl="3" w:tentative="0">
      <w:start w:val="1"/>
      <w:numFmt w:val="decimal"/>
      <w:lvlText w:val="%4."/>
      <w:lvlJc w:val="left"/>
      <w:pPr>
        <w:ind w:left="2152" w:hanging="420"/>
      </w:pPr>
    </w:lvl>
    <w:lvl w:ilvl="4" w:tentative="0">
      <w:start w:val="1"/>
      <w:numFmt w:val="lowerLetter"/>
      <w:lvlText w:val="%5)"/>
      <w:lvlJc w:val="left"/>
      <w:pPr>
        <w:ind w:left="2572" w:hanging="420"/>
      </w:pPr>
    </w:lvl>
    <w:lvl w:ilvl="5" w:tentative="0">
      <w:start w:val="1"/>
      <w:numFmt w:val="lowerRoman"/>
      <w:lvlText w:val="%6."/>
      <w:lvlJc w:val="right"/>
      <w:pPr>
        <w:ind w:left="2992" w:hanging="420"/>
      </w:pPr>
    </w:lvl>
    <w:lvl w:ilvl="6" w:tentative="0">
      <w:start w:val="1"/>
      <w:numFmt w:val="decimal"/>
      <w:lvlText w:val="%7."/>
      <w:lvlJc w:val="left"/>
      <w:pPr>
        <w:ind w:left="3412" w:hanging="420"/>
      </w:pPr>
    </w:lvl>
    <w:lvl w:ilvl="7" w:tentative="0">
      <w:start w:val="1"/>
      <w:numFmt w:val="lowerLetter"/>
      <w:lvlText w:val="%8)"/>
      <w:lvlJc w:val="left"/>
      <w:pPr>
        <w:ind w:left="3832" w:hanging="420"/>
      </w:pPr>
    </w:lvl>
    <w:lvl w:ilvl="8" w:tentative="0">
      <w:start w:val="1"/>
      <w:numFmt w:val="lowerRoman"/>
      <w:lvlText w:val="%9."/>
      <w:lvlJc w:val="right"/>
      <w:pPr>
        <w:ind w:left="4252" w:hanging="420"/>
      </w:pPr>
    </w:lvl>
  </w:abstractNum>
  <w:abstractNum w:abstractNumId="1">
    <w:nsid w:val="578650E2"/>
    <w:multiLevelType w:val="singleLevel"/>
    <w:tmpl w:val="578650E2"/>
    <w:lvl w:ilvl="0" w:tentative="0">
      <w:start w:val="7"/>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FmM2Y5MWM3Mzg5YWRlNzQ2Y2M3Yjc5MTM0OGFjNzcifQ=="/>
  </w:docVars>
  <w:rsids>
    <w:rsidRoot w:val="0057480E"/>
    <w:rsid w:val="00015F61"/>
    <w:rsid w:val="00031F8F"/>
    <w:rsid w:val="00033635"/>
    <w:rsid w:val="00037B6C"/>
    <w:rsid w:val="00052390"/>
    <w:rsid w:val="000552AE"/>
    <w:rsid w:val="00056A0A"/>
    <w:rsid w:val="0006772B"/>
    <w:rsid w:val="000740E0"/>
    <w:rsid w:val="00076230"/>
    <w:rsid w:val="00085670"/>
    <w:rsid w:val="0009080B"/>
    <w:rsid w:val="000C18DA"/>
    <w:rsid w:val="000C7017"/>
    <w:rsid w:val="000D57B3"/>
    <w:rsid w:val="000D6CD5"/>
    <w:rsid w:val="000F7B3F"/>
    <w:rsid w:val="00116921"/>
    <w:rsid w:val="001209FC"/>
    <w:rsid w:val="00122432"/>
    <w:rsid w:val="00123DC8"/>
    <w:rsid w:val="00135F01"/>
    <w:rsid w:val="001440D5"/>
    <w:rsid w:val="001450C8"/>
    <w:rsid w:val="00182463"/>
    <w:rsid w:val="001B4FEB"/>
    <w:rsid w:val="001C223B"/>
    <w:rsid w:val="001E2E24"/>
    <w:rsid w:val="001E5F1C"/>
    <w:rsid w:val="001F0FCA"/>
    <w:rsid w:val="00207250"/>
    <w:rsid w:val="00223369"/>
    <w:rsid w:val="0022428F"/>
    <w:rsid w:val="00225A73"/>
    <w:rsid w:val="00244539"/>
    <w:rsid w:val="00255B77"/>
    <w:rsid w:val="002816D6"/>
    <w:rsid w:val="00286E6E"/>
    <w:rsid w:val="00297DB5"/>
    <w:rsid w:val="002B6F52"/>
    <w:rsid w:val="002D322D"/>
    <w:rsid w:val="002F5F52"/>
    <w:rsid w:val="00301909"/>
    <w:rsid w:val="00301BF3"/>
    <w:rsid w:val="003142B1"/>
    <w:rsid w:val="00314842"/>
    <w:rsid w:val="00342B45"/>
    <w:rsid w:val="00345C33"/>
    <w:rsid w:val="00351BCD"/>
    <w:rsid w:val="00355074"/>
    <w:rsid w:val="003737F5"/>
    <w:rsid w:val="00374F76"/>
    <w:rsid w:val="00376816"/>
    <w:rsid w:val="00382103"/>
    <w:rsid w:val="00384680"/>
    <w:rsid w:val="003873C1"/>
    <w:rsid w:val="003A2EA8"/>
    <w:rsid w:val="003C29E4"/>
    <w:rsid w:val="003D1A5D"/>
    <w:rsid w:val="003E00E9"/>
    <w:rsid w:val="003F423D"/>
    <w:rsid w:val="00444123"/>
    <w:rsid w:val="00444FE0"/>
    <w:rsid w:val="00461A19"/>
    <w:rsid w:val="00476A15"/>
    <w:rsid w:val="00485758"/>
    <w:rsid w:val="004915E6"/>
    <w:rsid w:val="004C4550"/>
    <w:rsid w:val="004C67BB"/>
    <w:rsid w:val="004C7E59"/>
    <w:rsid w:val="004D4EDC"/>
    <w:rsid w:val="004D6463"/>
    <w:rsid w:val="004E28FE"/>
    <w:rsid w:val="004F43BF"/>
    <w:rsid w:val="004F5396"/>
    <w:rsid w:val="0050221D"/>
    <w:rsid w:val="00505DA0"/>
    <w:rsid w:val="00510E27"/>
    <w:rsid w:val="005142C8"/>
    <w:rsid w:val="00517B0E"/>
    <w:rsid w:val="00527B10"/>
    <w:rsid w:val="005434A2"/>
    <w:rsid w:val="0057146A"/>
    <w:rsid w:val="0057480E"/>
    <w:rsid w:val="00575571"/>
    <w:rsid w:val="0059675C"/>
    <w:rsid w:val="00597117"/>
    <w:rsid w:val="005A08A4"/>
    <w:rsid w:val="005B1FE1"/>
    <w:rsid w:val="005B2A43"/>
    <w:rsid w:val="005C0E13"/>
    <w:rsid w:val="005C2206"/>
    <w:rsid w:val="005E69AC"/>
    <w:rsid w:val="005F023F"/>
    <w:rsid w:val="005F1694"/>
    <w:rsid w:val="005F2B43"/>
    <w:rsid w:val="005F5456"/>
    <w:rsid w:val="00635080"/>
    <w:rsid w:val="006354AC"/>
    <w:rsid w:val="00637DD4"/>
    <w:rsid w:val="006443E2"/>
    <w:rsid w:val="0065061A"/>
    <w:rsid w:val="00662F04"/>
    <w:rsid w:val="006645A1"/>
    <w:rsid w:val="006803A5"/>
    <w:rsid w:val="006807B6"/>
    <w:rsid w:val="006900D3"/>
    <w:rsid w:val="006D7135"/>
    <w:rsid w:val="006E11DE"/>
    <w:rsid w:val="006E3B6C"/>
    <w:rsid w:val="007004BC"/>
    <w:rsid w:val="007014A6"/>
    <w:rsid w:val="00701B74"/>
    <w:rsid w:val="0071299B"/>
    <w:rsid w:val="0071374E"/>
    <w:rsid w:val="007228D7"/>
    <w:rsid w:val="00727405"/>
    <w:rsid w:val="00730628"/>
    <w:rsid w:val="00734E9F"/>
    <w:rsid w:val="0074239D"/>
    <w:rsid w:val="00760E13"/>
    <w:rsid w:val="00760F3D"/>
    <w:rsid w:val="007701CC"/>
    <w:rsid w:val="00787CEF"/>
    <w:rsid w:val="007A51C5"/>
    <w:rsid w:val="007B0368"/>
    <w:rsid w:val="007B2FB1"/>
    <w:rsid w:val="007B6A18"/>
    <w:rsid w:val="007B7B20"/>
    <w:rsid w:val="007E5E27"/>
    <w:rsid w:val="00831158"/>
    <w:rsid w:val="008316D3"/>
    <w:rsid w:val="00844228"/>
    <w:rsid w:val="0085782D"/>
    <w:rsid w:val="00862DBE"/>
    <w:rsid w:val="00880E03"/>
    <w:rsid w:val="00881098"/>
    <w:rsid w:val="00890D29"/>
    <w:rsid w:val="00892747"/>
    <w:rsid w:val="00896997"/>
    <w:rsid w:val="008C19EB"/>
    <w:rsid w:val="008C6EDA"/>
    <w:rsid w:val="008D5B08"/>
    <w:rsid w:val="008E13A7"/>
    <w:rsid w:val="008F0769"/>
    <w:rsid w:val="008F4780"/>
    <w:rsid w:val="00931D6F"/>
    <w:rsid w:val="009404E9"/>
    <w:rsid w:val="00942D0C"/>
    <w:rsid w:val="00943AAF"/>
    <w:rsid w:val="009451DA"/>
    <w:rsid w:val="00947931"/>
    <w:rsid w:val="009743BD"/>
    <w:rsid w:val="00976FFD"/>
    <w:rsid w:val="00977ABF"/>
    <w:rsid w:val="00983028"/>
    <w:rsid w:val="0099313F"/>
    <w:rsid w:val="009A2A69"/>
    <w:rsid w:val="009A51F0"/>
    <w:rsid w:val="009B20D0"/>
    <w:rsid w:val="009C12DE"/>
    <w:rsid w:val="009E2371"/>
    <w:rsid w:val="00A15CB5"/>
    <w:rsid w:val="00A2660A"/>
    <w:rsid w:val="00A31504"/>
    <w:rsid w:val="00A616FB"/>
    <w:rsid w:val="00A64F12"/>
    <w:rsid w:val="00A743EE"/>
    <w:rsid w:val="00A7554B"/>
    <w:rsid w:val="00A83B7F"/>
    <w:rsid w:val="00A840A2"/>
    <w:rsid w:val="00AD522B"/>
    <w:rsid w:val="00AD5C2C"/>
    <w:rsid w:val="00AF0DE6"/>
    <w:rsid w:val="00B140EF"/>
    <w:rsid w:val="00B1581A"/>
    <w:rsid w:val="00B20FB5"/>
    <w:rsid w:val="00B2483E"/>
    <w:rsid w:val="00B50D59"/>
    <w:rsid w:val="00B5117D"/>
    <w:rsid w:val="00B72ADA"/>
    <w:rsid w:val="00B76FFA"/>
    <w:rsid w:val="00BC3602"/>
    <w:rsid w:val="00BE4F1D"/>
    <w:rsid w:val="00BF1B19"/>
    <w:rsid w:val="00C0659E"/>
    <w:rsid w:val="00C10208"/>
    <w:rsid w:val="00C1141E"/>
    <w:rsid w:val="00C17F6C"/>
    <w:rsid w:val="00C377C5"/>
    <w:rsid w:val="00C51EF7"/>
    <w:rsid w:val="00C70921"/>
    <w:rsid w:val="00C832ED"/>
    <w:rsid w:val="00C93869"/>
    <w:rsid w:val="00CA469E"/>
    <w:rsid w:val="00CC0929"/>
    <w:rsid w:val="00CC77F0"/>
    <w:rsid w:val="00CD3BCE"/>
    <w:rsid w:val="00CD743A"/>
    <w:rsid w:val="00CE353D"/>
    <w:rsid w:val="00D05AB0"/>
    <w:rsid w:val="00D064E6"/>
    <w:rsid w:val="00D14881"/>
    <w:rsid w:val="00D168CF"/>
    <w:rsid w:val="00D2029B"/>
    <w:rsid w:val="00D27139"/>
    <w:rsid w:val="00D27E17"/>
    <w:rsid w:val="00D40569"/>
    <w:rsid w:val="00D44EE4"/>
    <w:rsid w:val="00D469F6"/>
    <w:rsid w:val="00D474AF"/>
    <w:rsid w:val="00D60615"/>
    <w:rsid w:val="00D61F2A"/>
    <w:rsid w:val="00D63416"/>
    <w:rsid w:val="00D721EA"/>
    <w:rsid w:val="00D75D45"/>
    <w:rsid w:val="00D76996"/>
    <w:rsid w:val="00D84AEF"/>
    <w:rsid w:val="00D85673"/>
    <w:rsid w:val="00D93056"/>
    <w:rsid w:val="00DA2AC1"/>
    <w:rsid w:val="00DA3E03"/>
    <w:rsid w:val="00DA4D20"/>
    <w:rsid w:val="00DB6F20"/>
    <w:rsid w:val="00DC6545"/>
    <w:rsid w:val="00DD4260"/>
    <w:rsid w:val="00DD7156"/>
    <w:rsid w:val="00DE5332"/>
    <w:rsid w:val="00E101DC"/>
    <w:rsid w:val="00E11576"/>
    <w:rsid w:val="00E42E27"/>
    <w:rsid w:val="00E453A4"/>
    <w:rsid w:val="00E54A74"/>
    <w:rsid w:val="00E64706"/>
    <w:rsid w:val="00E7736C"/>
    <w:rsid w:val="00E83194"/>
    <w:rsid w:val="00E86F0A"/>
    <w:rsid w:val="00EB2C03"/>
    <w:rsid w:val="00EB3BD2"/>
    <w:rsid w:val="00EC4F55"/>
    <w:rsid w:val="00EF0EFF"/>
    <w:rsid w:val="00EF773D"/>
    <w:rsid w:val="00F06491"/>
    <w:rsid w:val="00F07D2C"/>
    <w:rsid w:val="00F3731B"/>
    <w:rsid w:val="00F63ED7"/>
    <w:rsid w:val="00F652C8"/>
    <w:rsid w:val="00F8510B"/>
    <w:rsid w:val="00F85811"/>
    <w:rsid w:val="00F97D4E"/>
    <w:rsid w:val="00FC3143"/>
    <w:rsid w:val="00FD03F1"/>
    <w:rsid w:val="00FD14DC"/>
    <w:rsid w:val="00FE2B22"/>
    <w:rsid w:val="03E3151D"/>
    <w:rsid w:val="05941A06"/>
    <w:rsid w:val="07CD5B89"/>
    <w:rsid w:val="09890D08"/>
    <w:rsid w:val="0AC8794A"/>
    <w:rsid w:val="0B520C02"/>
    <w:rsid w:val="0E401946"/>
    <w:rsid w:val="0FEB51FA"/>
    <w:rsid w:val="10667DC3"/>
    <w:rsid w:val="13E5344A"/>
    <w:rsid w:val="156D1196"/>
    <w:rsid w:val="157D0ADD"/>
    <w:rsid w:val="15EE3CD2"/>
    <w:rsid w:val="17821485"/>
    <w:rsid w:val="1ACE5879"/>
    <w:rsid w:val="1AF303A8"/>
    <w:rsid w:val="1BA54A74"/>
    <w:rsid w:val="1F7D32CE"/>
    <w:rsid w:val="217F4D8E"/>
    <w:rsid w:val="2D171205"/>
    <w:rsid w:val="2DC51077"/>
    <w:rsid w:val="2E036322"/>
    <w:rsid w:val="30D024FC"/>
    <w:rsid w:val="31525F59"/>
    <w:rsid w:val="35732B11"/>
    <w:rsid w:val="37E1039B"/>
    <w:rsid w:val="3B77CF0C"/>
    <w:rsid w:val="3B99664E"/>
    <w:rsid w:val="3C1F7297"/>
    <w:rsid w:val="40FA14A7"/>
    <w:rsid w:val="417D1C7B"/>
    <w:rsid w:val="423C79BE"/>
    <w:rsid w:val="454422B9"/>
    <w:rsid w:val="4C6348A9"/>
    <w:rsid w:val="4C7E5F71"/>
    <w:rsid w:val="51237DE9"/>
    <w:rsid w:val="53AD2E58"/>
    <w:rsid w:val="53F817ED"/>
    <w:rsid w:val="58E97083"/>
    <w:rsid w:val="5A2F7708"/>
    <w:rsid w:val="5B9D4D5C"/>
    <w:rsid w:val="60A97636"/>
    <w:rsid w:val="6308165E"/>
    <w:rsid w:val="635B032E"/>
    <w:rsid w:val="667E3967"/>
    <w:rsid w:val="67763E1A"/>
    <w:rsid w:val="67F562F0"/>
    <w:rsid w:val="69F22FC9"/>
    <w:rsid w:val="6DF23ED7"/>
    <w:rsid w:val="712025DB"/>
    <w:rsid w:val="75CB24B4"/>
    <w:rsid w:val="76A322C3"/>
    <w:rsid w:val="77627E52"/>
    <w:rsid w:val="7A6461CB"/>
    <w:rsid w:val="7DF03E9D"/>
    <w:rsid w:val="EBF37FF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Balloon Text"/>
    <w:basedOn w:val="1"/>
    <w:link w:val="15"/>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jc w:val="left"/>
    </w:pPr>
    <w:rPr>
      <w:kern w:val="0"/>
      <w:sz w:val="24"/>
    </w:rPr>
  </w:style>
  <w:style w:type="character" w:styleId="9">
    <w:name w:val="FollowedHyperlink"/>
    <w:basedOn w:val="8"/>
    <w:unhideWhenUsed/>
    <w:qFormat/>
    <w:uiPriority w:val="99"/>
    <w:rPr>
      <w:color w:val="333333"/>
      <w:u w:val="none"/>
    </w:rPr>
  </w:style>
  <w:style w:type="character" w:styleId="10">
    <w:name w:val="Hyperlink"/>
    <w:basedOn w:val="8"/>
    <w:unhideWhenUsed/>
    <w:qFormat/>
    <w:uiPriority w:val="99"/>
    <w:rPr>
      <w:color w:val="333333"/>
      <w:u w:val="none"/>
    </w:rPr>
  </w:style>
  <w:style w:type="character" w:customStyle="1" w:styleId="11">
    <w:name w:val="页眉 Char"/>
    <w:basedOn w:val="8"/>
    <w:link w:val="5"/>
    <w:qFormat/>
    <w:uiPriority w:val="99"/>
    <w:rPr>
      <w:sz w:val="18"/>
      <w:szCs w:val="18"/>
    </w:rPr>
  </w:style>
  <w:style w:type="character" w:customStyle="1" w:styleId="12">
    <w:name w:val="页脚 Char"/>
    <w:basedOn w:val="8"/>
    <w:link w:val="4"/>
    <w:qFormat/>
    <w:uiPriority w:val="99"/>
    <w:rPr>
      <w:sz w:val="18"/>
      <w:szCs w:val="18"/>
    </w:rPr>
  </w:style>
  <w:style w:type="paragraph" w:customStyle="1" w:styleId="13">
    <w:name w:val="Char Char Char Char"/>
    <w:basedOn w:val="1"/>
    <w:qFormat/>
    <w:uiPriority w:val="0"/>
    <w:rPr>
      <w:rFonts w:ascii="Tahoma" w:hAnsi="Tahoma"/>
      <w:sz w:val="24"/>
      <w:szCs w:val="20"/>
    </w:rPr>
  </w:style>
  <w:style w:type="paragraph" w:customStyle="1" w:styleId="14">
    <w:name w:val="列出段落1"/>
    <w:basedOn w:val="1"/>
    <w:qFormat/>
    <w:uiPriority w:val="0"/>
    <w:pPr>
      <w:spacing w:beforeLines="50"/>
      <w:ind w:firstLine="420" w:firstLineChars="200"/>
    </w:pPr>
    <w:rPr>
      <w:rFonts w:ascii="Times New Roman" w:hAnsi="Times New Roman"/>
      <w:szCs w:val="24"/>
    </w:rPr>
  </w:style>
  <w:style w:type="character" w:customStyle="1" w:styleId="15">
    <w:name w:val="批注框文本 Char"/>
    <w:basedOn w:val="8"/>
    <w:link w:val="3"/>
    <w:semiHidden/>
    <w:qFormat/>
    <w:uiPriority w:val="99"/>
    <w:rPr>
      <w:rFonts w:ascii="Calibri" w:hAnsi="Calibri" w:eastAsia="宋体" w:cs="Times New Roman"/>
      <w:kern w:val="2"/>
      <w:sz w:val="18"/>
      <w:szCs w:val="18"/>
    </w:rPr>
  </w:style>
  <w:style w:type="paragraph" w:customStyle="1" w:styleId="16">
    <w:name w:val="List Paragraph"/>
    <w:basedOn w:val="1"/>
    <w:unhideWhenUsed/>
    <w:qFormat/>
    <w:uiPriority w:val="99"/>
    <w:pPr>
      <w:ind w:firstLine="420" w:firstLineChars="200"/>
    </w:pPr>
  </w:style>
  <w:style w:type="character" w:customStyle="1" w:styleId="17">
    <w:name w:val="active"/>
    <w:basedOn w:val="8"/>
    <w:qFormat/>
    <w:uiPriority w:val="0"/>
    <w:rPr>
      <w:color w:val="FFFFFF"/>
    </w:rPr>
  </w:style>
  <w:style w:type="character" w:customStyle="1" w:styleId="18">
    <w:name w:val="item_main"/>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8</Pages>
  <Words>5356</Words>
  <Characters>6528</Characters>
  <Lines>45</Lines>
  <Paragraphs>12</Paragraphs>
  <TotalTime>0</TotalTime>
  <ScaleCrop>false</ScaleCrop>
  <LinksUpToDate>false</LinksUpToDate>
  <CharactersWithSpaces>6633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2022-05-13T10:01:00Z</dcterms:created>
  <dc:creator>郑桦</dc:creator>
  <cp:lastModifiedBy>lueilueiluei</cp:lastModifiedBy>
  <cp:lastPrinted>2022-05-11T09:45:00Z</cp:lastPrinted>
  <dcterms:modified xsi:type="dcterms:W3CDTF">2023-08-24T05:25:12Z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427B49FF175242D88B975F0FFE0A9C3B</vt:lpwstr>
  </property>
</Properties>
</file>